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BCEE" w14:textId="41FD7BFE" w:rsidR="00A85622" w:rsidRPr="00A85622" w:rsidRDefault="00A85622" w:rsidP="00A85622">
      <w:pPr>
        <w:spacing w:after="0" w:line="240" w:lineRule="auto"/>
        <w:jc w:val="center"/>
        <w:rPr>
          <w:rFonts w:ascii="Arial Narrow" w:eastAsia="Times New Roman" w:hAnsi="Arial Narrow" w:cs="Times New Roman"/>
          <w:b/>
          <w:bCs/>
          <w:color w:val="000000"/>
          <w:kern w:val="0"/>
          <w:sz w:val="26"/>
          <w:szCs w:val="26"/>
          <w14:ligatures w14:val="none"/>
        </w:rPr>
      </w:pPr>
      <w:r w:rsidRPr="00A85622">
        <w:rPr>
          <w:rFonts w:ascii="Arial Narrow" w:eastAsia="Times New Roman" w:hAnsi="Arial Narrow" w:cs="Times New Roman"/>
          <w:b/>
          <w:bCs/>
          <w:color w:val="000000"/>
          <w:kern w:val="0"/>
          <w:sz w:val="26"/>
          <w:szCs w:val="26"/>
          <w14:ligatures w14:val="none"/>
        </w:rPr>
        <w:t>THE RELATION OF DELIVERY TYPE WITH THE INCIDENT OF HYPERBILIRUBINEMIA ON NEWBORN INFANT</w:t>
      </w:r>
      <w:r w:rsidRPr="00A85622">
        <w:rPr>
          <w:rFonts w:ascii="Arial Narrow" w:eastAsia="Times New Roman" w:hAnsi="Arial Narrow" w:cs="Times New Roman"/>
          <w:b/>
          <w:bCs/>
          <w:color w:val="000000"/>
          <w:kern w:val="0"/>
          <w:sz w:val="26"/>
          <w:szCs w:val="26"/>
          <w14:ligatures w14:val="none"/>
        </w:rPr>
        <w:t xml:space="preserve"> </w:t>
      </w:r>
      <w:r w:rsidRPr="00A85622">
        <w:rPr>
          <w:rFonts w:ascii="Arial Narrow" w:eastAsia="Times New Roman" w:hAnsi="Arial Narrow" w:cs="Times New Roman"/>
          <w:b/>
          <w:bCs/>
          <w:color w:val="000000"/>
          <w:kern w:val="0"/>
          <w:sz w:val="26"/>
          <w:szCs w:val="26"/>
          <w14:ligatures w14:val="none"/>
        </w:rPr>
        <w:t>AT RSIA BUNDA ARIF PURWOKERTO</w:t>
      </w:r>
    </w:p>
    <w:p w14:paraId="0CE0B476" w14:textId="77777777" w:rsidR="00A85622" w:rsidRDefault="00A85622" w:rsidP="00A85622">
      <w:pPr>
        <w:spacing w:after="0" w:line="240" w:lineRule="auto"/>
        <w:jc w:val="center"/>
        <w:rPr>
          <w:rFonts w:ascii="Arial Narrow" w:eastAsia="Times New Roman" w:hAnsi="Arial Narrow" w:cs="Times New Roman"/>
          <w:color w:val="000000"/>
          <w:kern w:val="0"/>
          <w14:ligatures w14:val="none"/>
        </w:rPr>
      </w:pPr>
    </w:p>
    <w:p w14:paraId="5E514F4B" w14:textId="77777777" w:rsidR="00A85622" w:rsidRPr="00A85622" w:rsidRDefault="00A85622" w:rsidP="00A85622">
      <w:pPr>
        <w:pStyle w:val="NoSpacing"/>
        <w:jc w:val="center"/>
        <w:rPr>
          <w:rFonts w:ascii="Arial Narrow" w:hAnsi="Arial Narrow" w:cs="Arial"/>
          <w:b/>
        </w:rPr>
      </w:pPr>
      <w:proofErr w:type="spellStart"/>
      <w:r w:rsidRPr="00A85622">
        <w:rPr>
          <w:rFonts w:ascii="Arial Narrow" w:hAnsi="Arial Narrow" w:cs="Arial"/>
          <w:b/>
        </w:rPr>
        <w:t>Maryamah</w:t>
      </w:r>
      <w:proofErr w:type="spellEnd"/>
      <w:r w:rsidRPr="00A85622">
        <w:rPr>
          <w:rFonts w:ascii="Arial Narrow" w:hAnsi="Arial Narrow" w:cs="Arial"/>
          <w:b/>
        </w:rPr>
        <w:t xml:space="preserve"> Eka Prapti Handayani</w:t>
      </w:r>
      <w:r w:rsidRPr="00A85622">
        <w:rPr>
          <w:rFonts w:ascii="Arial Narrow" w:hAnsi="Arial Narrow" w:cs="Arial"/>
          <w:b/>
          <w:bCs/>
          <w:vertAlign w:val="superscript"/>
        </w:rPr>
        <w:t>1</w:t>
      </w:r>
      <w:r w:rsidRPr="00A85622">
        <w:rPr>
          <w:rFonts w:ascii="Arial Narrow" w:hAnsi="Arial Narrow" w:cs="Arial"/>
          <w:b/>
          <w:bCs/>
          <w:lang w:val="id-ID"/>
        </w:rPr>
        <w:t xml:space="preserve">, </w:t>
      </w:r>
      <w:r w:rsidRPr="00A85622">
        <w:rPr>
          <w:rFonts w:ascii="Arial Narrow" w:hAnsi="Arial Narrow" w:cs="Arial"/>
          <w:b/>
          <w:bCs/>
        </w:rPr>
        <w:t>Citra Hadi Kurniati</w:t>
      </w:r>
      <w:r w:rsidRPr="00A85622">
        <w:rPr>
          <w:rFonts w:ascii="Arial Narrow" w:hAnsi="Arial Narrow" w:cs="Arial"/>
          <w:b/>
          <w:bCs/>
          <w:vertAlign w:val="superscript"/>
        </w:rPr>
        <w:t>2</w:t>
      </w:r>
    </w:p>
    <w:p w14:paraId="705BDA31" w14:textId="77777777" w:rsidR="00A85622" w:rsidRPr="00A85622" w:rsidRDefault="00A85622" w:rsidP="00A85622">
      <w:pPr>
        <w:pStyle w:val="NoSpacing"/>
        <w:jc w:val="center"/>
        <w:rPr>
          <w:rFonts w:ascii="Arial Narrow" w:hAnsi="Arial Narrow" w:cs="Arial"/>
          <w:vertAlign w:val="superscript"/>
        </w:rPr>
      </w:pPr>
      <w:r w:rsidRPr="00A85622">
        <w:rPr>
          <w:rFonts w:ascii="Arial Narrow" w:hAnsi="Arial Narrow" w:cs="Arial"/>
        </w:rPr>
        <w:t>RSIA Bunda Arif Purwokerto</w:t>
      </w:r>
      <w:r w:rsidRPr="00A85622">
        <w:rPr>
          <w:rFonts w:ascii="Arial Narrow" w:hAnsi="Arial Narrow" w:cs="Arial"/>
          <w:vertAlign w:val="superscript"/>
        </w:rPr>
        <w:t>1</w:t>
      </w:r>
    </w:p>
    <w:p w14:paraId="0ECE83DD" w14:textId="77777777" w:rsidR="00A85622" w:rsidRPr="00A85622" w:rsidRDefault="00A85622" w:rsidP="00A85622">
      <w:pPr>
        <w:pStyle w:val="NoSpacing"/>
        <w:jc w:val="center"/>
        <w:rPr>
          <w:rFonts w:ascii="Arial Narrow" w:hAnsi="Arial Narrow" w:cs="Arial"/>
          <w:b/>
          <w:vertAlign w:val="superscript"/>
        </w:rPr>
      </w:pPr>
      <w:r w:rsidRPr="00A85622">
        <w:rPr>
          <w:rFonts w:ascii="Arial Narrow" w:hAnsi="Arial Narrow" w:cs="Arial"/>
        </w:rPr>
        <w:t xml:space="preserve">Program Studi </w:t>
      </w:r>
      <w:proofErr w:type="spellStart"/>
      <w:r w:rsidRPr="00A85622">
        <w:rPr>
          <w:rFonts w:ascii="Arial Narrow" w:hAnsi="Arial Narrow" w:cs="Arial"/>
        </w:rPr>
        <w:t>Kebidanan</w:t>
      </w:r>
      <w:proofErr w:type="spellEnd"/>
      <w:r w:rsidRPr="00A85622">
        <w:rPr>
          <w:rFonts w:ascii="Arial Narrow" w:hAnsi="Arial Narrow" w:cs="Arial"/>
        </w:rPr>
        <w:t xml:space="preserve"> Program Sarjana</w:t>
      </w:r>
      <w:r w:rsidRPr="00A85622">
        <w:rPr>
          <w:rFonts w:ascii="Arial Narrow" w:hAnsi="Arial Narrow" w:cs="Arial"/>
          <w:vertAlign w:val="superscript"/>
        </w:rPr>
        <w:t>2</w:t>
      </w:r>
    </w:p>
    <w:p w14:paraId="67072AF2" w14:textId="77777777" w:rsidR="00A85622" w:rsidRPr="00A85622" w:rsidRDefault="00A85622" w:rsidP="00A85622">
      <w:pPr>
        <w:jc w:val="center"/>
        <w:rPr>
          <w:rFonts w:ascii="Arial Narrow" w:hAnsi="Arial Narrow" w:cs="Arial"/>
        </w:rPr>
      </w:pPr>
      <w:proofErr w:type="spellStart"/>
      <w:r w:rsidRPr="00A85622">
        <w:rPr>
          <w:rFonts w:ascii="Arial Narrow" w:hAnsi="Arial Narrow" w:cs="Arial"/>
        </w:rPr>
        <w:t>Fakultas</w:t>
      </w:r>
      <w:proofErr w:type="spellEnd"/>
      <w:r w:rsidRPr="00A85622">
        <w:rPr>
          <w:rFonts w:ascii="Arial Narrow" w:hAnsi="Arial Narrow" w:cs="Arial"/>
        </w:rPr>
        <w:t xml:space="preserve"> </w:t>
      </w:r>
      <w:proofErr w:type="spellStart"/>
      <w:r w:rsidRPr="00A85622">
        <w:rPr>
          <w:rFonts w:ascii="Arial Narrow" w:hAnsi="Arial Narrow" w:cs="Arial"/>
        </w:rPr>
        <w:t>Ilmu</w:t>
      </w:r>
      <w:proofErr w:type="spellEnd"/>
      <w:r w:rsidRPr="00A85622">
        <w:rPr>
          <w:rFonts w:ascii="Arial Narrow" w:hAnsi="Arial Narrow" w:cs="Arial"/>
        </w:rPr>
        <w:t xml:space="preserve"> Kesehatan Universitas Muhammadiyah </w:t>
      </w:r>
      <w:proofErr w:type="spellStart"/>
      <w:r w:rsidRPr="00A85622">
        <w:rPr>
          <w:rFonts w:ascii="Arial Narrow" w:hAnsi="Arial Narrow" w:cs="Arial"/>
        </w:rPr>
        <w:t>Purwokerto</w:t>
      </w:r>
      <w:proofErr w:type="spellEnd"/>
    </w:p>
    <w:p w14:paraId="1B15997F" w14:textId="48650896" w:rsidR="00A85622" w:rsidRPr="00A85622" w:rsidRDefault="00A85622" w:rsidP="00A85622">
      <w:pPr>
        <w:jc w:val="center"/>
        <w:rPr>
          <w:rFonts w:ascii="Arial Narrow" w:hAnsi="Arial Narrow" w:cs="Arial"/>
        </w:rPr>
      </w:pPr>
      <w:proofErr w:type="spellStart"/>
      <w:r w:rsidRPr="00A85622">
        <w:rPr>
          <w:rFonts w:ascii="Arial Narrow" w:hAnsi="Arial Narrow" w:cs="Arial"/>
        </w:rPr>
        <w:t>Koresponding</w:t>
      </w:r>
      <w:proofErr w:type="spellEnd"/>
      <w:r w:rsidRPr="00A85622">
        <w:rPr>
          <w:rFonts w:ascii="Arial Narrow" w:hAnsi="Arial Narrow" w:cs="Arial"/>
        </w:rPr>
        <w:t xml:space="preserve"> </w:t>
      </w:r>
      <w:proofErr w:type="gramStart"/>
      <w:r w:rsidRPr="00A85622">
        <w:rPr>
          <w:rFonts w:ascii="Arial Narrow" w:hAnsi="Arial Narrow" w:cs="Arial"/>
        </w:rPr>
        <w:t>Autor ;</w:t>
      </w:r>
      <w:proofErr w:type="gramEnd"/>
      <w:r w:rsidRPr="00A85622">
        <w:rPr>
          <w:rFonts w:ascii="Arial Narrow" w:hAnsi="Arial Narrow" w:cs="Arial"/>
        </w:rPr>
        <w:t xml:space="preserve"> </w:t>
      </w:r>
      <w:hyperlink r:id="rId5" w:history="1">
        <w:r w:rsidRPr="00A85622">
          <w:rPr>
            <w:rStyle w:val="Hyperlink"/>
            <w:rFonts w:ascii="Arial Narrow" w:hAnsi="Arial Narrow" w:cs="Arial"/>
          </w:rPr>
          <w:t>citrahadi85@gmail.com</w:t>
        </w:r>
      </w:hyperlink>
    </w:p>
    <w:p w14:paraId="6A9BA14F" w14:textId="77777777" w:rsidR="0022401B" w:rsidRDefault="00A85622" w:rsidP="0022401B">
      <w:pPr>
        <w:pStyle w:val="HTMLPreformatted"/>
        <w:shd w:val="clear" w:color="auto" w:fill="F8F9FA"/>
        <w:jc w:val="both"/>
        <w:rPr>
          <w:rFonts w:ascii="Arial Narrow" w:eastAsia="Bookman Old Style" w:hAnsi="Arial Narrow" w:cs="Arial"/>
          <w:i/>
          <w:iCs/>
          <w:color w:val="000000"/>
          <w:sz w:val="22"/>
          <w:szCs w:val="22"/>
          <w:lang w:val="en-US"/>
        </w:rPr>
      </w:pPr>
      <w:r w:rsidRPr="00A85622">
        <w:rPr>
          <w:rFonts w:ascii="Arial Narrow" w:eastAsia="Bookman Old Style" w:hAnsi="Arial Narrow" w:cs="Arial"/>
          <w:b/>
          <w:bCs/>
          <w:i/>
          <w:iCs/>
          <w:color w:val="000000"/>
          <w:sz w:val="22"/>
          <w:szCs w:val="22"/>
          <w:lang w:val="en-US"/>
        </w:rPr>
        <w:t>Background</w:t>
      </w:r>
      <w:r w:rsidRPr="00A85622">
        <w:rPr>
          <w:rFonts w:ascii="Arial Narrow" w:eastAsia="Bookman Old Style" w:hAnsi="Arial Narrow" w:cs="Arial"/>
          <w:i/>
          <w:iCs/>
          <w:color w:val="000000"/>
          <w:sz w:val="22"/>
          <w:szCs w:val="22"/>
          <w:lang w:val="en-US"/>
        </w:rPr>
        <w:t>:</w:t>
      </w:r>
      <w:r w:rsidRPr="00A85622">
        <w:rPr>
          <w:rFonts w:ascii="Arial Narrow" w:hAnsi="Arial Narrow" w:cs="Arial"/>
          <w:color w:val="202124"/>
          <w:sz w:val="22"/>
          <w:szCs w:val="22"/>
          <w:lang w:val="en"/>
        </w:rPr>
        <w:t xml:space="preserve"> </w:t>
      </w:r>
      <w:r w:rsidRPr="00A85622">
        <w:rPr>
          <w:rFonts w:ascii="Arial Narrow" w:eastAsia="SimSun" w:hAnsi="Arial Narrow" w:cs="Arial"/>
          <w:i/>
          <w:iCs/>
          <w:sz w:val="22"/>
          <w:szCs w:val="22"/>
          <w:lang w:val="en-AU" w:eastAsia="zh-CN"/>
        </w:rPr>
        <w:t xml:space="preserve">One of the maternal factors that cause hyperbilirubinemia is the type of delivery. Labor is the process of expelling a </w:t>
      </w:r>
      <w:proofErr w:type="spellStart"/>
      <w:r w:rsidRPr="00A85622">
        <w:rPr>
          <w:rFonts w:ascii="Arial Narrow" w:eastAsia="SimSun" w:hAnsi="Arial Narrow" w:cs="Arial"/>
          <w:i/>
          <w:iCs/>
          <w:sz w:val="22"/>
          <w:szCs w:val="22"/>
          <w:lang w:val="en-AU" w:eastAsia="zh-CN"/>
        </w:rPr>
        <w:t>fetus</w:t>
      </w:r>
      <w:proofErr w:type="spellEnd"/>
      <w:r w:rsidRPr="00A85622">
        <w:rPr>
          <w:rFonts w:ascii="Arial Narrow" w:eastAsia="SimSun" w:hAnsi="Arial Narrow" w:cs="Arial"/>
          <w:i/>
          <w:iCs/>
          <w:sz w:val="22"/>
          <w:szCs w:val="22"/>
          <w:lang w:val="en-AU" w:eastAsia="zh-CN"/>
        </w:rPr>
        <w:t xml:space="preserve"> that can live outside the womb through the birth canal or stomach. The type of delivery consisted of pathological delivery and normal delivery. A few days of life at the age of 0-28 days that undergo major changes from inside the womb to outside the womb are called newborns. Increased bilirubin levels in newborns &gt; 5 mg/dl will cause hyperbilirubinemia.</w:t>
      </w:r>
    </w:p>
    <w:p w14:paraId="57EE65CB" w14:textId="77777777" w:rsidR="0022401B" w:rsidRDefault="00A85622" w:rsidP="0022401B">
      <w:pPr>
        <w:pStyle w:val="HTMLPreformatted"/>
        <w:shd w:val="clear" w:color="auto" w:fill="F8F9FA"/>
        <w:jc w:val="both"/>
        <w:rPr>
          <w:rFonts w:ascii="Arial Narrow" w:eastAsia="Bookman Old Style" w:hAnsi="Arial Narrow" w:cs="Arial"/>
          <w:i/>
          <w:iCs/>
          <w:color w:val="000000"/>
          <w:sz w:val="22"/>
          <w:szCs w:val="22"/>
          <w:lang w:val="en-US"/>
        </w:rPr>
      </w:pPr>
      <w:r w:rsidRPr="00A85622">
        <w:rPr>
          <w:rFonts w:ascii="Arial Narrow" w:eastAsia="Bookman Old Style" w:hAnsi="Arial Narrow" w:cs="Arial"/>
          <w:b/>
          <w:bCs/>
          <w:i/>
          <w:iCs/>
          <w:color w:val="000000"/>
          <w:sz w:val="22"/>
          <w:szCs w:val="22"/>
          <w:lang w:val="en-US"/>
        </w:rPr>
        <w:t>Objective</w:t>
      </w:r>
      <w:r w:rsidRPr="00A85622">
        <w:rPr>
          <w:rFonts w:ascii="Arial Narrow" w:eastAsia="Bookman Old Style" w:hAnsi="Arial Narrow" w:cs="Arial"/>
          <w:i/>
          <w:iCs/>
          <w:color w:val="000000"/>
          <w:sz w:val="22"/>
          <w:szCs w:val="22"/>
          <w:lang w:val="en-US"/>
        </w:rPr>
        <w:t xml:space="preserve">: </w:t>
      </w:r>
      <w:r w:rsidRPr="00A85622">
        <w:rPr>
          <w:rFonts w:ascii="Arial Narrow" w:hAnsi="Arial Narrow" w:cs="Arial"/>
          <w:i/>
          <w:iCs/>
          <w:sz w:val="22"/>
          <w:szCs w:val="22"/>
        </w:rPr>
        <w:t xml:space="preserve">To determine the relationship between </w:t>
      </w:r>
      <w:r w:rsidRPr="00A85622">
        <w:rPr>
          <w:rFonts w:ascii="Arial Narrow" w:hAnsi="Arial Narrow" w:cs="Arial"/>
          <w:i/>
          <w:iCs/>
          <w:sz w:val="22"/>
          <w:szCs w:val="22"/>
          <w:lang w:val="en-US"/>
        </w:rPr>
        <w:t xml:space="preserve">type of delivery and the incidence of </w:t>
      </w:r>
      <w:r w:rsidRPr="00A85622">
        <w:rPr>
          <w:rFonts w:ascii="Arial Narrow" w:hAnsi="Arial Narrow" w:cs="Arial"/>
          <w:i/>
          <w:iCs/>
          <w:sz w:val="22"/>
          <w:szCs w:val="22"/>
        </w:rPr>
        <w:t xml:space="preserve">hyperbilirubinemia in newborns at RSIA Bunda Arif </w:t>
      </w:r>
      <w:proofErr w:type="spellStart"/>
      <w:r w:rsidRPr="00A85622">
        <w:rPr>
          <w:rFonts w:ascii="Arial Narrow" w:hAnsi="Arial Narrow" w:cs="Arial"/>
          <w:i/>
          <w:iCs/>
          <w:sz w:val="22"/>
          <w:szCs w:val="22"/>
        </w:rPr>
        <w:t>Purwokerto</w:t>
      </w:r>
      <w:proofErr w:type="spellEnd"/>
      <w:r w:rsidRPr="00A85622">
        <w:rPr>
          <w:rFonts w:ascii="Arial Narrow" w:eastAsia="Bookman Old Style" w:hAnsi="Arial Narrow" w:cs="Arial"/>
          <w:i/>
          <w:iCs/>
          <w:color w:val="000000"/>
          <w:sz w:val="22"/>
          <w:szCs w:val="22"/>
          <w:lang w:val="en-US"/>
        </w:rPr>
        <w:t xml:space="preserve">. </w:t>
      </w:r>
    </w:p>
    <w:p w14:paraId="4CFCDCF9" w14:textId="77777777" w:rsidR="0022401B" w:rsidRDefault="00A85622" w:rsidP="0022401B">
      <w:pPr>
        <w:pStyle w:val="HTMLPreformatted"/>
        <w:shd w:val="clear" w:color="auto" w:fill="F8F9FA"/>
        <w:jc w:val="both"/>
        <w:rPr>
          <w:rFonts w:ascii="Arial Narrow" w:hAnsi="Arial Narrow" w:cs="Arial"/>
          <w:i/>
          <w:iCs/>
          <w:sz w:val="22"/>
          <w:szCs w:val="22"/>
          <w:lang w:val="en-US"/>
        </w:rPr>
      </w:pPr>
      <w:r w:rsidRPr="00A85622">
        <w:rPr>
          <w:rFonts w:ascii="Arial Narrow" w:eastAsia="Bookman Old Style" w:hAnsi="Arial Narrow" w:cs="Arial"/>
          <w:b/>
          <w:bCs/>
          <w:i/>
          <w:iCs/>
          <w:color w:val="000000"/>
          <w:sz w:val="22"/>
          <w:szCs w:val="22"/>
          <w:lang w:val="en-US"/>
        </w:rPr>
        <w:t>Methods</w:t>
      </w:r>
      <w:r w:rsidRPr="00A85622">
        <w:rPr>
          <w:rFonts w:ascii="Arial Narrow" w:eastAsia="Bookman Old Style" w:hAnsi="Arial Narrow" w:cs="Arial"/>
          <w:i/>
          <w:iCs/>
          <w:color w:val="000000"/>
          <w:sz w:val="22"/>
          <w:szCs w:val="22"/>
          <w:lang w:val="en-US"/>
        </w:rPr>
        <w:t xml:space="preserve">: </w:t>
      </w:r>
      <w:r w:rsidRPr="00A85622">
        <w:rPr>
          <w:rFonts w:ascii="Arial Narrow" w:hAnsi="Arial Narrow" w:cs="Arial"/>
          <w:i/>
          <w:iCs/>
          <w:sz w:val="22"/>
          <w:szCs w:val="22"/>
        </w:rPr>
        <w:t>This study is an analytic survey study with a retrospective approach. The sampling technique was purposive sampling with a total of 89</w:t>
      </w:r>
      <w:r w:rsidRPr="00A85622">
        <w:rPr>
          <w:rFonts w:ascii="Arial Narrow" w:hAnsi="Arial Narrow" w:cs="Arial"/>
          <w:i/>
          <w:iCs/>
          <w:sz w:val="22"/>
          <w:szCs w:val="22"/>
          <w:lang w:val="en-US"/>
        </w:rPr>
        <w:t xml:space="preserve"> </w:t>
      </w:r>
      <w:r w:rsidRPr="00A85622">
        <w:rPr>
          <w:rFonts w:ascii="Arial Narrow" w:hAnsi="Arial Narrow" w:cs="Arial"/>
          <w:i/>
          <w:iCs/>
          <w:sz w:val="22"/>
          <w:szCs w:val="22"/>
        </w:rPr>
        <w:t>newborns with hyperbilirubinemia. The research instrument used a checklist sheet</w:t>
      </w:r>
      <w:r w:rsidRPr="00A85622">
        <w:rPr>
          <w:rFonts w:ascii="Arial Narrow" w:hAnsi="Arial Narrow" w:cs="Arial"/>
          <w:i/>
          <w:iCs/>
          <w:sz w:val="22"/>
          <w:szCs w:val="22"/>
          <w:lang w:val="en-US"/>
        </w:rPr>
        <w:t xml:space="preserve">. </w:t>
      </w:r>
      <w:r w:rsidRPr="00A85622">
        <w:rPr>
          <w:rFonts w:ascii="Arial Narrow" w:hAnsi="Arial Narrow" w:cs="Arial"/>
          <w:i/>
          <w:iCs/>
          <w:sz w:val="22"/>
          <w:szCs w:val="22"/>
        </w:rPr>
        <w:t>Data analysis using lambda correlation test and chi square test</w:t>
      </w:r>
      <w:r w:rsidRPr="00A85622">
        <w:rPr>
          <w:rFonts w:ascii="Arial Narrow" w:hAnsi="Arial Narrow" w:cs="Arial"/>
          <w:i/>
          <w:iCs/>
          <w:sz w:val="22"/>
          <w:szCs w:val="22"/>
          <w:lang w:val="en-US"/>
        </w:rPr>
        <w:t xml:space="preserve">. </w:t>
      </w:r>
    </w:p>
    <w:p w14:paraId="33B03137" w14:textId="77777777" w:rsidR="0022401B" w:rsidRDefault="00A85622" w:rsidP="0022401B">
      <w:pPr>
        <w:pStyle w:val="HTMLPreformatted"/>
        <w:shd w:val="clear" w:color="auto" w:fill="F8F9FA"/>
        <w:jc w:val="both"/>
        <w:rPr>
          <w:rFonts w:ascii="Arial Narrow" w:eastAsia="Bookman Old Style" w:hAnsi="Arial Narrow" w:cs="Arial"/>
          <w:i/>
          <w:iCs/>
          <w:color w:val="000000"/>
          <w:sz w:val="22"/>
          <w:szCs w:val="22"/>
          <w:lang w:val="en-US"/>
        </w:rPr>
      </w:pPr>
      <w:r w:rsidRPr="00A85622">
        <w:rPr>
          <w:rFonts w:ascii="Arial Narrow" w:eastAsia="Bookman Old Style" w:hAnsi="Arial Narrow" w:cs="Arial"/>
          <w:b/>
          <w:bCs/>
          <w:i/>
          <w:iCs/>
          <w:color w:val="000000"/>
          <w:sz w:val="22"/>
          <w:szCs w:val="22"/>
          <w:lang w:val="en-US"/>
        </w:rPr>
        <w:t>Results</w:t>
      </w:r>
      <w:r w:rsidRPr="00A85622">
        <w:rPr>
          <w:rFonts w:ascii="Arial Narrow" w:eastAsia="Calibri" w:hAnsi="Arial Narrow" w:cs="Arial"/>
          <w:i/>
          <w:iCs/>
          <w:sz w:val="22"/>
          <w:szCs w:val="22"/>
          <w:lang w:val="id-ID" w:eastAsia="en-US"/>
        </w:rPr>
        <w:t>: The results showed that 52.8% of newborns at RSIA Bunda Arif Purwokerto experienced pathological delivery</w:t>
      </w:r>
      <w:r w:rsidRPr="00A85622">
        <w:rPr>
          <w:rFonts w:ascii="Arial Narrow" w:eastAsia="Calibri" w:hAnsi="Arial Narrow" w:cs="Arial"/>
          <w:i/>
          <w:iCs/>
          <w:sz w:val="22"/>
          <w:szCs w:val="22"/>
          <w:lang w:val="en-US" w:eastAsia="en-US"/>
        </w:rPr>
        <w:t xml:space="preserve">. </w:t>
      </w:r>
      <w:r w:rsidRPr="00A85622">
        <w:rPr>
          <w:rFonts w:ascii="Arial Narrow" w:eastAsia="Calibri" w:hAnsi="Arial Narrow" w:cs="Arial"/>
          <w:i/>
          <w:iCs/>
          <w:sz w:val="22"/>
          <w:szCs w:val="22"/>
          <w:lang w:val="id-ID" w:eastAsia="en-US"/>
        </w:rPr>
        <w:t>The incidence of hyperbilirubinemia in newborns at RSIA Bunda Arif Purwokerto was 36% experiencing hyperbilirubinemia in the grade V category. There is a relationship between pathological delivery and the incidence of hyperbilirubinemia in newborns at RSIA Bunda Arif Purwokerto with a moderate strength p-value of 0.0001 (p-value &lt; ) and lambda (λ) 0.576.</w:t>
      </w:r>
      <w:r w:rsidRPr="00A85622">
        <w:rPr>
          <w:rFonts w:ascii="Arial Narrow" w:eastAsia="Bookman Old Style" w:hAnsi="Arial Narrow" w:cs="Arial"/>
          <w:i/>
          <w:iCs/>
          <w:color w:val="000000"/>
          <w:sz w:val="22"/>
          <w:szCs w:val="22"/>
          <w:lang w:val="en-US"/>
        </w:rPr>
        <w:t xml:space="preserve"> </w:t>
      </w:r>
    </w:p>
    <w:p w14:paraId="0BCF0F47" w14:textId="1BB6177F" w:rsidR="00A85622" w:rsidRDefault="00A85622" w:rsidP="0022401B">
      <w:pPr>
        <w:pStyle w:val="HTMLPreformatted"/>
        <w:shd w:val="clear" w:color="auto" w:fill="F8F9FA"/>
        <w:jc w:val="both"/>
        <w:rPr>
          <w:rFonts w:ascii="Arial Narrow" w:eastAsia="Bookman Old Style" w:hAnsi="Arial Narrow" w:cs="Arial"/>
          <w:i/>
          <w:iCs/>
          <w:color w:val="000000"/>
          <w:sz w:val="22"/>
          <w:szCs w:val="22"/>
          <w:lang w:val="en-US"/>
        </w:rPr>
      </w:pPr>
      <w:r w:rsidRPr="00A85622">
        <w:rPr>
          <w:rFonts w:ascii="Arial Narrow" w:eastAsia="Bookman Old Style" w:hAnsi="Arial Narrow" w:cs="Arial"/>
          <w:b/>
          <w:bCs/>
          <w:i/>
          <w:iCs/>
          <w:color w:val="000000"/>
          <w:sz w:val="22"/>
          <w:szCs w:val="22"/>
          <w:lang w:val="en-US"/>
        </w:rPr>
        <w:t>Conclusion</w:t>
      </w:r>
      <w:r w:rsidRPr="00A85622">
        <w:rPr>
          <w:rFonts w:ascii="Arial Narrow" w:eastAsia="Bookman Old Style" w:hAnsi="Arial Narrow" w:cs="Arial"/>
          <w:i/>
          <w:iCs/>
          <w:color w:val="000000"/>
          <w:sz w:val="22"/>
          <w:szCs w:val="22"/>
          <w:lang w:val="en-US"/>
        </w:rPr>
        <w:t xml:space="preserve">: </w:t>
      </w:r>
      <w:r w:rsidRPr="00A85622">
        <w:rPr>
          <w:rFonts w:ascii="Arial Narrow" w:hAnsi="Arial Narrow" w:cs="Arial"/>
          <w:i/>
          <w:iCs/>
          <w:sz w:val="22"/>
          <w:szCs w:val="22"/>
          <w:lang w:val="en-US"/>
        </w:rPr>
        <w:t xml:space="preserve">Type of delivery </w:t>
      </w:r>
      <w:r w:rsidRPr="00A85622">
        <w:rPr>
          <w:rFonts w:ascii="Arial Narrow" w:hAnsi="Arial Narrow" w:cs="Arial"/>
          <w:i/>
          <w:iCs/>
          <w:sz w:val="22"/>
          <w:szCs w:val="22"/>
        </w:rPr>
        <w:t>has a moderate relationship with the incidence of hyperbilirubinemia</w:t>
      </w:r>
      <w:r w:rsidRPr="00A85622">
        <w:rPr>
          <w:rFonts w:ascii="Arial Narrow" w:eastAsia="Bookman Old Style" w:hAnsi="Arial Narrow" w:cs="Arial"/>
          <w:i/>
          <w:iCs/>
          <w:color w:val="000000"/>
          <w:sz w:val="22"/>
          <w:szCs w:val="22"/>
          <w:lang w:val="en-US"/>
        </w:rPr>
        <w:t xml:space="preserve"> in newborns.</w:t>
      </w:r>
    </w:p>
    <w:p w14:paraId="47900E54" w14:textId="77777777" w:rsidR="0022401B" w:rsidRPr="00A85622" w:rsidRDefault="0022401B" w:rsidP="0022401B">
      <w:pPr>
        <w:pStyle w:val="HTMLPreformatted"/>
        <w:shd w:val="clear" w:color="auto" w:fill="F8F9FA"/>
        <w:jc w:val="both"/>
        <w:rPr>
          <w:rFonts w:ascii="Arial Narrow" w:hAnsi="Arial Narrow" w:cs="Arial"/>
          <w:color w:val="202124"/>
          <w:sz w:val="22"/>
          <w:szCs w:val="22"/>
          <w:lang w:val="en-US" w:eastAsia="en-US"/>
        </w:rPr>
      </w:pPr>
    </w:p>
    <w:p w14:paraId="4057D143" w14:textId="77777777" w:rsidR="00A85622" w:rsidRPr="00A85622" w:rsidRDefault="00A85622" w:rsidP="0022401B">
      <w:pPr>
        <w:spacing w:before="120" w:after="120" w:line="240" w:lineRule="auto"/>
        <w:jc w:val="both"/>
        <w:rPr>
          <w:rFonts w:ascii="Arial Narrow" w:eastAsia="Bookman Old Style" w:hAnsi="Arial Narrow" w:cs="Arial"/>
          <w:i/>
          <w:iCs/>
          <w:color w:val="000000"/>
        </w:rPr>
      </w:pPr>
      <w:r w:rsidRPr="00A85622">
        <w:rPr>
          <w:rFonts w:ascii="Arial Narrow" w:eastAsia="Bookman Old Style" w:hAnsi="Arial Narrow" w:cs="Arial"/>
          <w:i/>
          <w:iCs/>
          <w:color w:val="000000"/>
        </w:rPr>
        <w:t>Keywords: Type of Delivery, Hyperbilirubinemia, Newborn</w:t>
      </w:r>
    </w:p>
    <w:p w14:paraId="4EA8B5FA" w14:textId="77777777" w:rsidR="00A85622" w:rsidRPr="00A85622" w:rsidRDefault="00A85622" w:rsidP="0022401B">
      <w:pPr>
        <w:spacing w:after="0" w:line="240" w:lineRule="auto"/>
        <w:jc w:val="both"/>
        <w:rPr>
          <w:rFonts w:eastAsia="Times New Roman" w:cstheme="minorHAnsi"/>
          <w:b/>
          <w:bCs/>
          <w:color w:val="000000"/>
          <w:kern w:val="0"/>
          <w:sz w:val="24"/>
          <w:szCs w:val="24"/>
          <w14:ligatures w14:val="none"/>
        </w:rPr>
      </w:pPr>
    </w:p>
    <w:p w14:paraId="510E5F74" w14:textId="28B1F0D1" w:rsidR="00A85622" w:rsidRDefault="00A85622" w:rsidP="0022401B">
      <w:pPr>
        <w:spacing w:line="240" w:lineRule="auto"/>
        <w:ind w:right="18"/>
        <w:jc w:val="center"/>
        <w:rPr>
          <w:rFonts w:ascii="Arial Narrow" w:hAnsi="Arial Narrow" w:cs="Arial"/>
          <w:b/>
          <w:bCs/>
          <w:sz w:val="26"/>
          <w:szCs w:val="26"/>
        </w:rPr>
      </w:pPr>
      <w:r w:rsidRPr="00A85622">
        <w:rPr>
          <w:rFonts w:ascii="Arial Narrow" w:hAnsi="Arial Narrow" w:cs="Arial"/>
          <w:b/>
          <w:bCs/>
          <w:sz w:val="26"/>
          <w:szCs w:val="26"/>
        </w:rPr>
        <w:t>HUBUNGAN JENIS PERSALINAN DENGAN KEJADIAN HIPERBILIRUBINEMIA PADA BAYI BARU LAHIR</w:t>
      </w:r>
      <w:r w:rsidRPr="00A85622">
        <w:rPr>
          <w:rFonts w:ascii="Arial Narrow" w:hAnsi="Arial Narrow" w:cs="Arial"/>
          <w:b/>
          <w:bCs/>
          <w:sz w:val="26"/>
          <w:szCs w:val="26"/>
        </w:rPr>
        <w:t xml:space="preserve"> </w:t>
      </w:r>
      <w:r w:rsidRPr="00A85622">
        <w:rPr>
          <w:rFonts w:ascii="Arial Narrow" w:hAnsi="Arial Narrow" w:cs="Arial"/>
          <w:b/>
          <w:bCs/>
          <w:sz w:val="26"/>
          <w:szCs w:val="26"/>
        </w:rPr>
        <w:t>DI RSIA BUNDA ARIF PURWOKERTO</w:t>
      </w:r>
    </w:p>
    <w:p w14:paraId="441B001C" w14:textId="77777777" w:rsidR="00A85622" w:rsidRPr="00A85622" w:rsidRDefault="00A85622" w:rsidP="0022401B">
      <w:pPr>
        <w:spacing w:line="240" w:lineRule="auto"/>
        <w:ind w:right="18"/>
        <w:jc w:val="center"/>
        <w:rPr>
          <w:rFonts w:ascii="Arial Narrow" w:hAnsi="Arial Narrow" w:cs="Arial"/>
          <w:b/>
          <w:bCs/>
          <w:sz w:val="26"/>
          <w:szCs w:val="26"/>
        </w:rPr>
      </w:pPr>
    </w:p>
    <w:p w14:paraId="02EA632B" w14:textId="77777777" w:rsidR="0022401B" w:rsidRDefault="00A85622" w:rsidP="0022401B">
      <w:pPr>
        <w:spacing w:line="240" w:lineRule="auto"/>
        <w:ind w:right="-1"/>
        <w:jc w:val="both"/>
        <w:rPr>
          <w:rFonts w:ascii="Arial Narrow" w:eastAsia="Times New Roman" w:hAnsi="Arial Narrow" w:cs="Arial"/>
          <w:i/>
          <w:iCs/>
        </w:rPr>
      </w:pPr>
      <w:r w:rsidRPr="00A85622">
        <w:rPr>
          <w:rFonts w:ascii="Arial Narrow" w:eastAsia="Bookman Old Style" w:hAnsi="Arial Narrow" w:cs="Arial"/>
          <w:b/>
          <w:i/>
          <w:iCs/>
          <w:color w:val="000000"/>
        </w:rPr>
        <w:t xml:space="preserve">Latar </w:t>
      </w:r>
      <w:proofErr w:type="spellStart"/>
      <w:r w:rsidRPr="00A85622">
        <w:rPr>
          <w:rFonts w:ascii="Arial Narrow" w:eastAsia="Bookman Old Style" w:hAnsi="Arial Narrow" w:cs="Arial"/>
          <w:b/>
          <w:i/>
          <w:iCs/>
          <w:color w:val="000000"/>
        </w:rPr>
        <w:t>Belakang</w:t>
      </w:r>
      <w:proofErr w:type="spellEnd"/>
      <w:r w:rsidRPr="00A85622">
        <w:rPr>
          <w:rFonts w:ascii="Arial Narrow" w:eastAsia="Bookman Old Style" w:hAnsi="Arial Narrow" w:cs="Arial"/>
          <w:b/>
          <w:i/>
          <w:iCs/>
          <w:color w:val="000000"/>
        </w:rPr>
        <w:t xml:space="preserve">: </w:t>
      </w:r>
      <w:r w:rsidRPr="00A85622">
        <w:rPr>
          <w:rFonts w:ascii="Arial Narrow" w:eastAsia="Times New Roman" w:hAnsi="Arial Narrow" w:cs="Arial"/>
          <w:i/>
          <w:iCs/>
        </w:rPr>
        <w:t xml:space="preserve">Salah </w:t>
      </w:r>
      <w:proofErr w:type="spellStart"/>
      <w:r w:rsidRPr="00A85622">
        <w:rPr>
          <w:rFonts w:ascii="Arial Narrow" w:eastAsia="Times New Roman" w:hAnsi="Arial Narrow" w:cs="Arial"/>
          <w:i/>
          <w:iCs/>
        </w:rPr>
        <w:t>satu</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faktor</w:t>
      </w:r>
      <w:proofErr w:type="spellEnd"/>
      <w:r w:rsidRPr="00A85622">
        <w:rPr>
          <w:rFonts w:ascii="Arial Narrow" w:eastAsia="Times New Roman" w:hAnsi="Arial Narrow" w:cs="Arial"/>
          <w:i/>
          <w:iCs/>
        </w:rPr>
        <w:t xml:space="preserve"> maternal yang </w:t>
      </w:r>
      <w:proofErr w:type="spellStart"/>
      <w:r w:rsidRPr="00A85622">
        <w:rPr>
          <w:rFonts w:ascii="Arial Narrow" w:eastAsia="Times New Roman" w:hAnsi="Arial Narrow" w:cs="Arial"/>
          <w:i/>
          <w:iCs/>
        </w:rPr>
        <w:t>menyebabkan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hiperbilirubinemia</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yaitu</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jenis</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persalinan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color w:val="000000"/>
          <w:lang w:eastAsia="en-ID"/>
        </w:rPr>
        <w:t>Persalinan</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merupakan</w:t>
      </w:r>
      <w:proofErr w:type="spellEnd"/>
      <w:r w:rsidRPr="00A85622">
        <w:rPr>
          <w:rFonts w:ascii="Arial Narrow" w:eastAsia="Times New Roman" w:hAnsi="Arial Narrow" w:cs="Arial"/>
          <w:i/>
          <w:iCs/>
          <w:color w:val="000000"/>
          <w:lang w:eastAsia="en-ID"/>
        </w:rPr>
        <w:t xml:space="preserve"> proses </w:t>
      </w:r>
      <w:proofErr w:type="spellStart"/>
      <w:r w:rsidRPr="00A85622">
        <w:rPr>
          <w:rFonts w:ascii="Arial Narrow" w:eastAsia="Times New Roman" w:hAnsi="Arial Narrow" w:cs="Arial"/>
          <w:i/>
          <w:iCs/>
          <w:color w:val="000000"/>
          <w:lang w:eastAsia="en-ID"/>
        </w:rPr>
        <w:t>pengeluaran</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janin</w:t>
      </w:r>
      <w:proofErr w:type="spellEnd"/>
      <w:r w:rsidRPr="00A85622">
        <w:rPr>
          <w:rFonts w:ascii="Arial Narrow" w:eastAsia="Times New Roman" w:hAnsi="Arial Narrow" w:cs="Arial"/>
          <w:i/>
          <w:iCs/>
          <w:color w:val="000000"/>
          <w:lang w:eastAsia="en-ID"/>
        </w:rPr>
        <w:t xml:space="preserve"> yang </w:t>
      </w:r>
      <w:proofErr w:type="spellStart"/>
      <w:r w:rsidRPr="00A85622">
        <w:rPr>
          <w:rFonts w:ascii="Arial Narrow" w:eastAsia="Times New Roman" w:hAnsi="Arial Narrow" w:cs="Arial"/>
          <w:i/>
          <w:iCs/>
          <w:color w:val="000000"/>
          <w:lang w:eastAsia="en-ID"/>
        </w:rPr>
        <w:t>dapat</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hidup</w:t>
      </w:r>
      <w:proofErr w:type="spellEnd"/>
      <w:r w:rsidRPr="00A85622">
        <w:rPr>
          <w:rFonts w:ascii="Arial Narrow" w:eastAsia="Times New Roman" w:hAnsi="Arial Narrow" w:cs="Arial"/>
          <w:i/>
          <w:iCs/>
          <w:color w:val="000000"/>
          <w:lang w:eastAsia="en-ID"/>
        </w:rPr>
        <w:t xml:space="preserve"> di </w:t>
      </w:r>
      <w:proofErr w:type="spellStart"/>
      <w:r w:rsidRPr="00A85622">
        <w:rPr>
          <w:rFonts w:ascii="Arial Narrow" w:eastAsia="Times New Roman" w:hAnsi="Arial Narrow" w:cs="Arial"/>
          <w:i/>
          <w:iCs/>
          <w:color w:val="000000"/>
          <w:lang w:eastAsia="en-ID"/>
        </w:rPr>
        <w:t>luar</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kandungan</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melalui</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jalan</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lahir</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atau</w:t>
      </w:r>
      <w:proofErr w:type="spellEnd"/>
      <w:r w:rsidRPr="00A85622">
        <w:rPr>
          <w:rFonts w:ascii="Arial Narrow" w:eastAsia="Times New Roman" w:hAnsi="Arial Narrow" w:cs="Arial"/>
          <w:i/>
          <w:iCs/>
          <w:color w:val="000000"/>
          <w:lang w:eastAsia="en-ID"/>
        </w:rPr>
        <w:t xml:space="preserve"> </w:t>
      </w:r>
      <w:proofErr w:type="spellStart"/>
      <w:r w:rsidRPr="00A85622">
        <w:rPr>
          <w:rFonts w:ascii="Arial Narrow" w:eastAsia="Times New Roman" w:hAnsi="Arial Narrow" w:cs="Arial"/>
          <w:i/>
          <w:iCs/>
          <w:color w:val="000000"/>
          <w:lang w:eastAsia="en-ID"/>
        </w:rPr>
        <w:t>perut</w:t>
      </w:r>
      <w:proofErr w:type="spellEnd"/>
      <w:r w:rsidRPr="00A85622">
        <w:rPr>
          <w:rFonts w:ascii="Arial Narrow" w:eastAsia="Times New Roman" w:hAnsi="Arial Narrow" w:cs="Arial"/>
          <w:i/>
          <w:iCs/>
          <w:lang w:eastAsia="id-ID"/>
        </w:rPr>
        <w:t>.</w:t>
      </w:r>
      <w:r w:rsidRPr="00A85622">
        <w:rPr>
          <w:rFonts w:ascii="Arial Narrow" w:eastAsia="Times New Roman" w:hAnsi="Arial Narrow" w:cs="Arial"/>
          <w:i/>
          <w:iCs/>
        </w:rPr>
        <w:t xml:space="preserve"> Jenis </w:t>
      </w:r>
      <w:proofErr w:type="spellStart"/>
      <w:r w:rsidRPr="00A85622">
        <w:rPr>
          <w:rFonts w:ascii="Arial Narrow" w:eastAsia="Times New Roman" w:hAnsi="Arial Narrow" w:cs="Arial"/>
          <w:i/>
          <w:iCs/>
        </w:rPr>
        <w:t>persalinan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terdiri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dari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persalinan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patologis</w:t>
      </w:r>
      <w:proofErr w:type="spellEnd"/>
      <w:r w:rsidRPr="00A85622">
        <w:rPr>
          <w:rFonts w:ascii="Arial Narrow" w:eastAsia="Times New Roman" w:hAnsi="Arial Narrow" w:cs="Arial"/>
          <w:i/>
          <w:iCs/>
        </w:rPr>
        <w:t xml:space="preserve"> dan </w:t>
      </w:r>
      <w:proofErr w:type="spellStart"/>
      <w:r w:rsidRPr="00A85622">
        <w:rPr>
          <w:rFonts w:ascii="Arial Narrow" w:eastAsia="Times New Roman" w:hAnsi="Arial Narrow" w:cs="Arial"/>
          <w:i/>
          <w:iCs/>
        </w:rPr>
        <w:t>persalinan</w:t>
      </w:r>
      <w:proofErr w:type="spellEnd"/>
      <w:r w:rsidRPr="00A85622">
        <w:rPr>
          <w:rFonts w:ascii="Arial Narrow" w:eastAsia="Times New Roman" w:hAnsi="Arial Narrow" w:cs="Arial"/>
          <w:i/>
          <w:iCs/>
        </w:rPr>
        <w:t xml:space="preserve"> normal. </w:t>
      </w:r>
      <w:proofErr w:type="spellStart"/>
      <w:r w:rsidRPr="00A85622">
        <w:rPr>
          <w:rFonts w:ascii="Arial Narrow" w:eastAsia="Times New Roman" w:hAnsi="Arial Narrow" w:cs="Arial"/>
          <w:i/>
          <w:iCs/>
        </w:rPr>
        <w:t>Beberapa</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hari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kehidupan</w:t>
      </w:r>
      <w:proofErr w:type="spellEnd"/>
      <w:r w:rsidRPr="00A85622">
        <w:rPr>
          <w:rFonts w:ascii="Arial Narrow" w:eastAsia="Times New Roman" w:hAnsi="Arial Narrow" w:cs="Arial"/>
          <w:i/>
          <w:iCs/>
        </w:rPr>
        <w:t xml:space="preserve"> di </w:t>
      </w:r>
      <w:proofErr w:type="spellStart"/>
      <w:r w:rsidRPr="00A85622">
        <w:rPr>
          <w:rFonts w:ascii="Arial Narrow" w:eastAsia="Times New Roman" w:hAnsi="Arial Narrow" w:cs="Arial"/>
          <w:i/>
          <w:iCs/>
        </w:rPr>
        <w:t>usia</w:t>
      </w:r>
      <w:proofErr w:type="spellEnd"/>
      <w:r w:rsidRPr="00A85622">
        <w:rPr>
          <w:rFonts w:ascii="Arial Narrow" w:eastAsia="Times New Roman" w:hAnsi="Arial Narrow" w:cs="Arial"/>
          <w:i/>
          <w:iCs/>
        </w:rPr>
        <w:t xml:space="preserve"> 0-28 </w:t>
      </w:r>
      <w:proofErr w:type="spellStart"/>
      <w:r w:rsidRPr="00A85622">
        <w:rPr>
          <w:rFonts w:ascii="Arial Narrow" w:eastAsia="Times New Roman" w:hAnsi="Arial Narrow" w:cs="Arial"/>
          <w:i/>
          <w:iCs/>
        </w:rPr>
        <w:t>hari</w:t>
      </w:r>
      <w:proofErr w:type="spellEnd"/>
      <w:r w:rsidRPr="00A85622">
        <w:rPr>
          <w:rFonts w:ascii="Arial Narrow" w:eastAsia="Times New Roman" w:hAnsi="Arial Narrow" w:cs="Arial"/>
          <w:i/>
          <w:iCs/>
        </w:rPr>
        <w:t xml:space="preserve"> yang </w:t>
      </w:r>
      <w:proofErr w:type="spellStart"/>
      <w:r w:rsidRPr="00A85622">
        <w:rPr>
          <w:rFonts w:ascii="Arial Narrow" w:eastAsia="Times New Roman" w:hAnsi="Arial Narrow" w:cs="Arial"/>
          <w:i/>
          <w:iCs/>
        </w:rPr>
        <w:t>mengalami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perubahan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besar</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dari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dalam</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rahim</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ke</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luar</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rahim</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disebut</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bayi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baru</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lahir</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Peningkatan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kadar</w:t>
      </w:r>
      <w:proofErr w:type="spellEnd"/>
      <w:r w:rsidRPr="00A85622">
        <w:rPr>
          <w:rFonts w:ascii="Arial Narrow" w:eastAsia="Times New Roman" w:hAnsi="Arial Narrow" w:cs="Arial"/>
          <w:i/>
          <w:iCs/>
        </w:rPr>
        <w:t xml:space="preserve"> bilirubin pada </w:t>
      </w:r>
      <w:proofErr w:type="spellStart"/>
      <w:r w:rsidRPr="00A85622">
        <w:rPr>
          <w:rFonts w:ascii="Arial Narrow" w:eastAsia="Times New Roman" w:hAnsi="Arial Narrow" w:cs="Arial"/>
          <w:i/>
          <w:iCs/>
        </w:rPr>
        <w:t>bayi</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baru</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lahir</w:t>
      </w:r>
      <w:proofErr w:type="spellEnd"/>
      <w:r w:rsidRPr="00A85622">
        <w:rPr>
          <w:rFonts w:ascii="Arial Narrow" w:eastAsia="Times New Roman" w:hAnsi="Arial Narrow" w:cs="Arial"/>
          <w:i/>
          <w:iCs/>
        </w:rPr>
        <w:t xml:space="preserve"> &gt;5 mg/dl </w:t>
      </w:r>
      <w:proofErr w:type="spellStart"/>
      <w:r w:rsidRPr="00A85622">
        <w:rPr>
          <w:rFonts w:ascii="Arial Narrow" w:eastAsia="Times New Roman" w:hAnsi="Arial Narrow" w:cs="Arial"/>
          <w:i/>
          <w:iCs/>
        </w:rPr>
        <w:t>akan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menyebabkan</w:t>
      </w:r>
      <w:proofErr w:type="spellEnd"/>
      <w:r w:rsidRPr="00A85622">
        <w:rPr>
          <w:rFonts w:ascii="Arial Narrow" w:eastAsia="Times New Roman" w:hAnsi="Arial Narrow" w:cs="Arial"/>
          <w:i/>
          <w:iCs/>
        </w:rPr>
        <w:t xml:space="preserve"> </w:t>
      </w:r>
      <w:proofErr w:type="spellStart"/>
      <w:r w:rsidRPr="00A85622">
        <w:rPr>
          <w:rFonts w:ascii="Arial Narrow" w:eastAsia="Times New Roman" w:hAnsi="Arial Narrow" w:cs="Arial"/>
          <w:i/>
          <w:iCs/>
        </w:rPr>
        <w:t>hiperbilirubinemia</w:t>
      </w:r>
      <w:proofErr w:type="spellEnd"/>
      <w:r w:rsidRPr="00A85622">
        <w:rPr>
          <w:rFonts w:ascii="Arial Narrow" w:eastAsia="Times New Roman" w:hAnsi="Arial Narrow" w:cs="Arial"/>
          <w:i/>
          <w:iCs/>
        </w:rPr>
        <w:t xml:space="preserve">. </w:t>
      </w:r>
    </w:p>
    <w:p w14:paraId="7862D69E" w14:textId="77777777" w:rsidR="0022401B" w:rsidRDefault="00A85622" w:rsidP="0022401B">
      <w:pPr>
        <w:spacing w:line="240" w:lineRule="auto"/>
        <w:ind w:right="-1"/>
        <w:jc w:val="both"/>
        <w:rPr>
          <w:rFonts w:ascii="Arial Narrow" w:hAnsi="Arial Narrow" w:cs="Arial"/>
          <w:i/>
          <w:iCs/>
        </w:rPr>
      </w:pPr>
      <w:r w:rsidRPr="00A85622">
        <w:rPr>
          <w:rFonts w:ascii="Arial Narrow" w:eastAsia="Bookman Old Style" w:hAnsi="Arial Narrow" w:cs="Arial"/>
          <w:b/>
          <w:i/>
          <w:iCs/>
          <w:color w:val="000000"/>
        </w:rPr>
        <w:t xml:space="preserve">Tujuan: </w:t>
      </w:r>
      <w:proofErr w:type="spellStart"/>
      <w:r w:rsidRPr="00A85622">
        <w:rPr>
          <w:rFonts w:ascii="Arial Narrow" w:eastAsia="Bookman Old Style" w:hAnsi="Arial Narrow" w:cs="Arial"/>
          <w:i/>
          <w:iCs/>
          <w:color w:val="000000"/>
        </w:rPr>
        <w:t>Mengetahui</w:t>
      </w:r>
      <w:proofErr w:type="spellEnd"/>
      <w:r w:rsidRPr="00A85622">
        <w:rPr>
          <w:rFonts w:ascii="Arial Narrow" w:eastAsia="Bookman Old Style" w:hAnsi="Arial Narrow" w:cs="Arial"/>
          <w:i/>
          <w:iCs/>
          <w:color w:val="000000"/>
        </w:rPr>
        <w:t xml:space="preserve"> </w:t>
      </w:r>
      <w:proofErr w:type="spellStart"/>
      <w:r w:rsidRPr="00A85622">
        <w:rPr>
          <w:rFonts w:ascii="Arial Narrow" w:hAnsi="Arial Narrow" w:cs="Arial"/>
          <w:bCs/>
          <w:i/>
          <w:iCs/>
        </w:rPr>
        <w:t>hubungan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jenis</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persalinan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dengan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kejadian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hiperbilirubinemia</w:t>
      </w:r>
      <w:proofErr w:type="spellEnd"/>
      <w:r w:rsidRPr="00A85622">
        <w:rPr>
          <w:rFonts w:ascii="Arial Narrow" w:hAnsi="Arial Narrow" w:cs="Arial"/>
          <w:i/>
          <w:iCs/>
        </w:rPr>
        <w:t xml:space="preserve"> pada </w:t>
      </w:r>
      <w:proofErr w:type="spellStart"/>
      <w:r w:rsidRPr="00A85622">
        <w:rPr>
          <w:rFonts w:ascii="Arial Narrow" w:hAnsi="Arial Narrow" w:cs="Arial"/>
          <w:i/>
          <w:iCs/>
        </w:rPr>
        <w:t>bayi</w:t>
      </w:r>
      <w:proofErr w:type="spellEnd"/>
      <w:r w:rsidRPr="00A85622">
        <w:rPr>
          <w:rFonts w:ascii="Arial Narrow" w:hAnsi="Arial Narrow" w:cs="Arial"/>
          <w:i/>
          <w:iCs/>
        </w:rPr>
        <w:t xml:space="preserve"> </w:t>
      </w:r>
      <w:proofErr w:type="spellStart"/>
      <w:r w:rsidRPr="00A85622">
        <w:rPr>
          <w:rFonts w:ascii="Arial Narrow" w:hAnsi="Arial Narrow" w:cs="Arial"/>
          <w:i/>
          <w:iCs/>
        </w:rPr>
        <w:t>baru</w:t>
      </w:r>
      <w:proofErr w:type="spellEnd"/>
      <w:r w:rsidRPr="00A85622">
        <w:rPr>
          <w:rFonts w:ascii="Arial Narrow" w:hAnsi="Arial Narrow" w:cs="Arial"/>
          <w:i/>
          <w:iCs/>
        </w:rPr>
        <w:t xml:space="preserve"> </w:t>
      </w:r>
      <w:proofErr w:type="spellStart"/>
      <w:r w:rsidRPr="00A85622">
        <w:rPr>
          <w:rFonts w:ascii="Arial Narrow" w:hAnsi="Arial Narrow" w:cs="Arial"/>
          <w:i/>
          <w:iCs/>
        </w:rPr>
        <w:t>lahir</w:t>
      </w:r>
      <w:proofErr w:type="spellEnd"/>
      <w:r w:rsidRPr="00A85622">
        <w:rPr>
          <w:rFonts w:ascii="Arial Narrow" w:hAnsi="Arial Narrow" w:cs="Arial"/>
          <w:i/>
          <w:iCs/>
        </w:rPr>
        <w:t xml:space="preserve"> </w:t>
      </w:r>
      <w:r w:rsidRPr="00A85622">
        <w:rPr>
          <w:rFonts w:ascii="Arial Narrow" w:eastAsia="Times New Roman" w:hAnsi="Arial Narrow" w:cs="Arial"/>
          <w:i/>
          <w:iCs/>
          <w:color w:val="000000"/>
          <w:lang w:eastAsia="id-ID"/>
        </w:rPr>
        <w:t xml:space="preserve">di RSIA Bunda Arif </w:t>
      </w:r>
      <w:proofErr w:type="spellStart"/>
      <w:r w:rsidRPr="00A85622">
        <w:rPr>
          <w:rFonts w:ascii="Arial Narrow" w:eastAsia="Times New Roman" w:hAnsi="Arial Narrow" w:cs="Arial"/>
          <w:i/>
          <w:iCs/>
          <w:color w:val="000000"/>
          <w:lang w:eastAsia="id-ID"/>
        </w:rPr>
        <w:t>Purwokerto</w:t>
      </w:r>
      <w:proofErr w:type="spellEnd"/>
      <w:r w:rsidRPr="00A85622">
        <w:rPr>
          <w:rFonts w:ascii="Arial Narrow" w:hAnsi="Arial Narrow" w:cs="Arial"/>
          <w:i/>
          <w:iCs/>
        </w:rPr>
        <w:t xml:space="preserve">. </w:t>
      </w:r>
    </w:p>
    <w:p w14:paraId="1129FFC8" w14:textId="77777777" w:rsidR="0022401B" w:rsidRDefault="00A85622" w:rsidP="0022401B">
      <w:pPr>
        <w:spacing w:line="240" w:lineRule="auto"/>
        <w:ind w:right="-1"/>
        <w:jc w:val="both"/>
        <w:rPr>
          <w:rFonts w:ascii="Arial Narrow" w:eastAsia="Bookman Old Style" w:hAnsi="Arial Narrow" w:cs="Arial"/>
          <w:i/>
          <w:iCs/>
          <w:color w:val="000000"/>
        </w:rPr>
      </w:pPr>
      <w:r w:rsidRPr="00A85622">
        <w:rPr>
          <w:rFonts w:ascii="Arial Narrow" w:eastAsia="Bookman Old Style" w:hAnsi="Arial Narrow" w:cs="Arial"/>
          <w:b/>
          <w:i/>
          <w:iCs/>
          <w:color w:val="000000"/>
          <w:lang w:val="da-DK"/>
        </w:rPr>
        <w:t xml:space="preserve">Metode: </w:t>
      </w:r>
      <w:r w:rsidRPr="00A85622">
        <w:rPr>
          <w:rFonts w:ascii="Arial Narrow" w:eastAsia="Bookman Old Style" w:hAnsi="Arial Narrow" w:cs="Arial"/>
          <w:i/>
          <w:iCs/>
          <w:color w:val="000000"/>
          <w:lang w:val="da-DK"/>
        </w:rPr>
        <w:t xml:space="preserve">Penelitian ini merupakan penelitian </w:t>
      </w:r>
      <w:proofErr w:type="spellStart"/>
      <w:r w:rsidRPr="00A85622">
        <w:rPr>
          <w:rFonts w:ascii="Arial Narrow" w:eastAsia="Times New Roman" w:hAnsi="Arial Narrow" w:cs="Arial"/>
          <w:i/>
          <w:iCs/>
          <w:color w:val="000000"/>
        </w:rPr>
        <w:t>survei</w:t>
      </w:r>
      <w:proofErr w:type="spellEnd"/>
      <w:r w:rsidRPr="00A85622">
        <w:rPr>
          <w:rFonts w:ascii="Arial Narrow" w:eastAsia="Times New Roman" w:hAnsi="Arial Narrow" w:cs="Arial"/>
          <w:i/>
          <w:iCs/>
          <w:color w:val="000000"/>
        </w:rPr>
        <w:t xml:space="preserve"> </w:t>
      </w:r>
      <w:proofErr w:type="spellStart"/>
      <w:r w:rsidRPr="00A85622">
        <w:rPr>
          <w:rFonts w:ascii="Arial Narrow" w:eastAsia="Times New Roman" w:hAnsi="Arial Narrow" w:cs="Arial"/>
          <w:i/>
          <w:iCs/>
          <w:color w:val="000000"/>
        </w:rPr>
        <w:t>analitik</w:t>
      </w:r>
      <w:proofErr w:type="spellEnd"/>
      <w:r w:rsidRPr="00A85622">
        <w:rPr>
          <w:rFonts w:ascii="Arial Narrow" w:eastAsia="Times New Roman" w:hAnsi="Arial Narrow" w:cs="Arial"/>
          <w:i/>
          <w:iCs/>
          <w:color w:val="000000"/>
        </w:rPr>
        <w:t xml:space="preserve"> </w:t>
      </w:r>
      <w:r w:rsidRPr="00A85622">
        <w:rPr>
          <w:rFonts w:ascii="Arial Narrow" w:eastAsia="Bookman Old Style" w:hAnsi="Arial Narrow" w:cs="Arial"/>
          <w:i/>
          <w:iCs/>
          <w:color w:val="000000"/>
          <w:lang w:val="da-DK"/>
        </w:rPr>
        <w:t xml:space="preserve">dengan pendekatan </w:t>
      </w:r>
      <w:proofErr w:type="spellStart"/>
      <w:r w:rsidRPr="00A85622">
        <w:rPr>
          <w:rFonts w:ascii="Arial Narrow" w:hAnsi="Arial Narrow" w:cs="Arial"/>
          <w:i/>
          <w:iCs/>
        </w:rPr>
        <w:t>retrospektif</w:t>
      </w:r>
      <w:proofErr w:type="spellEnd"/>
      <w:r w:rsidRPr="00A85622">
        <w:rPr>
          <w:rFonts w:ascii="Arial Narrow" w:eastAsia="Bookman Old Style" w:hAnsi="Arial Narrow" w:cs="Arial"/>
          <w:i/>
          <w:iCs/>
          <w:color w:val="000000"/>
          <w:lang w:val="da-DK"/>
        </w:rPr>
        <w:t xml:space="preserve">. Teknik pengambilan sampel </w:t>
      </w:r>
      <w:r w:rsidRPr="00A85622">
        <w:rPr>
          <w:rFonts w:ascii="Arial Narrow" w:hAnsi="Arial Narrow" w:cs="Arial"/>
          <w:i/>
          <w:iCs/>
          <w:lang w:eastAsia="id-ID"/>
        </w:rPr>
        <w:t>purposive sampling</w:t>
      </w:r>
      <w:r w:rsidRPr="00A85622">
        <w:rPr>
          <w:rFonts w:ascii="Arial Narrow" w:hAnsi="Arial Narrow" w:cs="Arial"/>
          <w:i/>
          <w:iCs/>
          <w:shd w:val="clear" w:color="auto" w:fill="FFFFFF"/>
        </w:rPr>
        <w:t xml:space="preserve"> </w:t>
      </w:r>
      <w:r w:rsidRPr="00A85622">
        <w:rPr>
          <w:rFonts w:ascii="Arial Narrow" w:eastAsia="Bookman Old Style" w:hAnsi="Arial Narrow" w:cs="Arial"/>
          <w:i/>
          <w:iCs/>
          <w:color w:val="000000"/>
          <w:lang w:val="da-DK"/>
        </w:rPr>
        <w:t xml:space="preserve">dengan jumlah sampel 89 </w:t>
      </w:r>
      <w:proofErr w:type="spellStart"/>
      <w:r w:rsidRPr="00A85622">
        <w:rPr>
          <w:rFonts w:ascii="Arial Narrow" w:hAnsi="Arial Narrow" w:cs="Arial"/>
          <w:i/>
          <w:iCs/>
        </w:rPr>
        <w:t>bayi</w:t>
      </w:r>
      <w:proofErr w:type="spellEnd"/>
      <w:r w:rsidRPr="00A85622">
        <w:rPr>
          <w:rFonts w:ascii="Arial Narrow" w:hAnsi="Arial Narrow" w:cs="Arial"/>
          <w:i/>
          <w:iCs/>
        </w:rPr>
        <w:t xml:space="preserve"> </w:t>
      </w:r>
      <w:proofErr w:type="spellStart"/>
      <w:r w:rsidRPr="00A85622">
        <w:rPr>
          <w:rFonts w:ascii="Arial Narrow" w:hAnsi="Arial Narrow" w:cs="Arial"/>
          <w:i/>
          <w:iCs/>
        </w:rPr>
        <w:t>baru</w:t>
      </w:r>
      <w:proofErr w:type="spellEnd"/>
      <w:r w:rsidRPr="00A85622">
        <w:rPr>
          <w:rFonts w:ascii="Arial Narrow" w:hAnsi="Arial Narrow" w:cs="Arial"/>
          <w:i/>
          <w:iCs/>
        </w:rPr>
        <w:t xml:space="preserve"> </w:t>
      </w:r>
      <w:proofErr w:type="spellStart"/>
      <w:r w:rsidRPr="00A85622">
        <w:rPr>
          <w:rFonts w:ascii="Arial Narrow" w:hAnsi="Arial Narrow" w:cs="Arial"/>
          <w:i/>
          <w:iCs/>
        </w:rPr>
        <w:t>lahir</w:t>
      </w:r>
      <w:proofErr w:type="spellEnd"/>
      <w:r w:rsidRPr="00A85622">
        <w:rPr>
          <w:rFonts w:ascii="Arial Narrow" w:hAnsi="Arial Narrow" w:cs="Arial"/>
          <w:i/>
          <w:iCs/>
        </w:rPr>
        <w:t xml:space="preserve"> </w:t>
      </w:r>
      <w:proofErr w:type="spellStart"/>
      <w:r w:rsidRPr="00A85622">
        <w:rPr>
          <w:rFonts w:ascii="Arial Narrow" w:hAnsi="Arial Narrow" w:cs="Arial"/>
          <w:i/>
          <w:iCs/>
        </w:rPr>
        <w:t>dengan</w:t>
      </w:r>
      <w:proofErr w:type="spellEnd"/>
      <w:r w:rsidRPr="00A85622">
        <w:rPr>
          <w:rFonts w:ascii="Arial Narrow" w:hAnsi="Arial Narrow" w:cs="Arial"/>
          <w:i/>
          <w:iCs/>
        </w:rPr>
        <w:t xml:space="preserve"> </w:t>
      </w:r>
      <w:proofErr w:type="spellStart"/>
      <w:r w:rsidRPr="00A85622">
        <w:rPr>
          <w:rFonts w:ascii="Arial Narrow" w:hAnsi="Arial Narrow" w:cs="Arial"/>
          <w:i/>
          <w:iCs/>
        </w:rPr>
        <w:t>hiperbilirubinemia</w:t>
      </w:r>
      <w:proofErr w:type="spellEnd"/>
      <w:r w:rsidRPr="00A85622">
        <w:rPr>
          <w:rFonts w:ascii="Arial Narrow" w:eastAsia="Bookman Old Style" w:hAnsi="Arial Narrow" w:cs="Arial"/>
          <w:i/>
          <w:iCs/>
          <w:color w:val="000000"/>
          <w:lang w:val="da-DK"/>
        </w:rPr>
        <w:t>. Instrumen penelitian menggunakan lembar cheklist</w:t>
      </w:r>
      <w:r w:rsidRPr="00A85622">
        <w:rPr>
          <w:rFonts w:ascii="Arial Narrow" w:eastAsia="Bookman Old Style" w:hAnsi="Arial Narrow" w:cs="Arial"/>
          <w:i/>
          <w:iCs/>
          <w:color w:val="000000"/>
        </w:rPr>
        <w:t xml:space="preserve">. </w:t>
      </w:r>
      <w:proofErr w:type="spellStart"/>
      <w:r w:rsidRPr="00A85622">
        <w:rPr>
          <w:rFonts w:ascii="Arial Narrow" w:eastAsia="Bookman Old Style" w:hAnsi="Arial Narrow" w:cs="Arial"/>
          <w:i/>
          <w:iCs/>
          <w:color w:val="000000"/>
        </w:rPr>
        <w:t>Analisis</w:t>
      </w:r>
      <w:proofErr w:type="spellEnd"/>
      <w:r w:rsidRPr="00A85622">
        <w:rPr>
          <w:rFonts w:ascii="Arial Narrow" w:eastAsia="Bookman Old Style" w:hAnsi="Arial Narrow" w:cs="Arial"/>
          <w:i/>
          <w:iCs/>
          <w:color w:val="000000"/>
        </w:rPr>
        <w:t xml:space="preserve"> data </w:t>
      </w:r>
      <w:proofErr w:type="spellStart"/>
      <w:r w:rsidRPr="00A85622">
        <w:rPr>
          <w:rFonts w:ascii="Arial Narrow" w:eastAsia="Bookman Old Style" w:hAnsi="Arial Narrow" w:cs="Arial"/>
          <w:i/>
          <w:iCs/>
          <w:color w:val="000000"/>
        </w:rPr>
        <w:t>menggunakan</w:t>
      </w:r>
      <w:proofErr w:type="spellEnd"/>
      <w:r w:rsidRPr="00A85622">
        <w:rPr>
          <w:rFonts w:ascii="Arial Narrow" w:eastAsia="Bookman Old Style" w:hAnsi="Arial Narrow" w:cs="Arial"/>
          <w:i/>
          <w:iCs/>
          <w:color w:val="000000"/>
        </w:rPr>
        <w:t xml:space="preserve"> uji </w:t>
      </w:r>
      <w:proofErr w:type="spellStart"/>
      <w:r w:rsidRPr="00A85622">
        <w:rPr>
          <w:rFonts w:ascii="Arial Narrow" w:eastAsia="Bookman Old Style" w:hAnsi="Arial Narrow" w:cs="Arial"/>
          <w:i/>
          <w:iCs/>
          <w:color w:val="000000"/>
        </w:rPr>
        <w:t>korelasi</w:t>
      </w:r>
      <w:proofErr w:type="spellEnd"/>
      <w:r w:rsidRPr="00A85622">
        <w:rPr>
          <w:rFonts w:ascii="Arial Narrow" w:eastAsia="Bookman Old Style" w:hAnsi="Arial Narrow" w:cs="Arial"/>
          <w:i/>
          <w:iCs/>
          <w:color w:val="000000"/>
        </w:rPr>
        <w:t xml:space="preserve"> </w:t>
      </w:r>
      <w:r w:rsidRPr="00A85622">
        <w:rPr>
          <w:rFonts w:ascii="Arial Narrow" w:eastAsia="Bookman Old Style" w:hAnsi="Arial Narrow" w:cs="Arial"/>
          <w:i/>
          <w:iCs/>
          <w:color w:val="000000"/>
          <w:lang w:val="da-DK"/>
        </w:rPr>
        <w:t>lambda</w:t>
      </w:r>
      <w:r w:rsidRPr="00A85622">
        <w:rPr>
          <w:rFonts w:ascii="Arial Narrow" w:eastAsia="Bookman Old Style" w:hAnsi="Arial Narrow" w:cs="Arial"/>
          <w:i/>
          <w:iCs/>
          <w:color w:val="000000"/>
        </w:rPr>
        <w:t xml:space="preserve"> dan uji chi square. </w:t>
      </w:r>
    </w:p>
    <w:p w14:paraId="0BD80E36" w14:textId="77777777" w:rsidR="0022401B" w:rsidRDefault="00A85622" w:rsidP="0022401B">
      <w:pPr>
        <w:spacing w:line="240" w:lineRule="auto"/>
        <w:ind w:right="-1"/>
        <w:jc w:val="both"/>
        <w:rPr>
          <w:rFonts w:ascii="Arial Narrow" w:hAnsi="Arial Narrow" w:cs="Arial"/>
          <w:i/>
          <w:iCs/>
        </w:rPr>
      </w:pPr>
      <w:r w:rsidRPr="00A85622">
        <w:rPr>
          <w:rFonts w:ascii="Arial Narrow" w:eastAsia="Bookman Old Style" w:hAnsi="Arial Narrow" w:cs="Arial"/>
          <w:b/>
          <w:i/>
          <w:iCs/>
          <w:color w:val="000000"/>
        </w:rPr>
        <w:lastRenderedPageBreak/>
        <w:t xml:space="preserve">Hasil: </w:t>
      </w:r>
      <w:r w:rsidRPr="00A85622">
        <w:rPr>
          <w:rFonts w:ascii="Arial Narrow" w:eastAsia="Bookman Old Style" w:hAnsi="Arial Narrow" w:cs="Arial"/>
          <w:i/>
          <w:iCs/>
          <w:color w:val="000000"/>
        </w:rPr>
        <w:t xml:space="preserve">Hasil </w:t>
      </w:r>
      <w:proofErr w:type="spellStart"/>
      <w:r w:rsidRPr="00A85622">
        <w:rPr>
          <w:rFonts w:ascii="Arial Narrow" w:eastAsia="Bookman Old Style" w:hAnsi="Arial Narrow" w:cs="Arial"/>
          <w:i/>
          <w:iCs/>
          <w:color w:val="000000"/>
        </w:rPr>
        <w:t>penelitian</w:t>
      </w:r>
      <w:proofErr w:type="spellEnd"/>
      <w:r w:rsidRPr="00A85622">
        <w:rPr>
          <w:rFonts w:ascii="Arial Narrow" w:eastAsia="Bookman Old Style" w:hAnsi="Arial Narrow" w:cs="Arial"/>
          <w:i/>
          <w:iCs/>
          <w:color w:val="000000"/>
        </w:rPr>
        <w:t xml:space="preserve"> </w:t>
      </w:r>
      <w:proofErr w:type="spellStart"/>
      <w:r w:rsidRPr="00A85622">
        <w:rPr>
          <w:rFonts w:ascii="Arial Narrow" w:eastAsia="Bookman Old Style" w:hAnsi="Arial Narrow" w:cs="Arial"/>
          <w:i/>
          <w:iCs/>
          <w:color w:val="000000"/>
        </w:rPr>
        <w:t>menunjukkan</w:t>
      </w:r>
      <w:proofErr w:type="spellEnd"/>
      <w:r w:rsidRPr="00A85622">
        <w:rPr>
          <w:rFonts w:ascii="Arial Narrow" w:eastAsia="Bookman Old Style" w:hAnsi="Arial Narrow" w:cs="Arial"/>
          <w:i/>
          <w:iCs/>
          <w:color w:val="000000"/>
        </w:rPr>
        <w:t xml:space="preserve"> </w:t>
      </w:r>
      <w:proofErr w:type="spellStart"/>
      <w:r w:rsidRPr="00A85622">
        <w:rPr>
          <w:rFonts w:ascii="Arial Narrow" w:eastAsia="Bookman Old Style" w:hAnsi="Arial Narrow" w:cs="Arial"/>
          <w:i/>
          <w:iCs/>
          <w:color w:val="000000"/>
        </w:rPr>
        <w:t>j</w:t>
      </w:r>
      <w:r w:rsidRPr="00A85622">
        <w:rPr>
          <w:rFonts w:ascii="Arial Narrow" w:hAnsi="Arial Narrow" w:cs="Arial"/>
          <w:i/>
          <w:iCs/>
          <w:color w:val="000000"/>
        </w:rPr>
        <w:t>enis</w:t>
      </w:r>
      <w:proofErr w:type="spellEnd"/>
      <w:r w:rsidRPr="00A85622">
        <w:rPr>
          <w:rFonts w:ascii="Arial Narrow" w:hAnsi="Arial Narrow" w:cs="Arial"/>
          <w:i/>
          <w:iCs/>
          <w:color w:val="000000"/>
        </w:rPr>
        <w:t xml:space="preserve"> </w:t>
      </w:r>
      <w:proofErr w:type="spellStart"/>
      <w:r w:rsidRPr="00A85622">
        <w:rPr>
          <w:rFonts w:ascii="Arial Narrow" w:hAnsi="Arial Narrow" w:cs="Arial"/>
          <w:i/>
          <w:iCs/>
        </w:rPr>
        <w:t>persalinan</w:t>
      </w:r>
      <w:proofErr w:type="spellEnd"/>
      <w:r w:rsidRPr="00A85622">
        <w:rPr>
          <w:rFonts w:ascii="Arial Narrow" w:hAnsi="Arial Narrow" w:cs="Arial"/>
          <w:i/>
          <w:iCs/>
        </w:rPr>
        <w:t xml:space="preserve"> pada </w:t>
      </w:r>
      <w:proofErr w:type="spellStart"/>
      <w:r w:rsidRPr="00A85622">
        <w:rPr>
          <w:rFonts w:ascii="Arial Narrow" w:hAnsi="Arial Narrow" w:cs="Arial"/>
          <w:i/>
          <w:iCs/>
        </w:rPr>
        <w:t>bayi</w:t>
      </w:r>
      <w:proofErr w:type="spellEnd"/>
      <w:r w:rsidRPr="00A85622">
        <w:rPr>
          <w:rFonts w:ascii="Arial Narrow" w:hAnsi="Arial Narrow" w:cs="Arial"/>
          <w:i/>
          <w:iCs/>
        </w:rPr>
        <w:t xml:space="preserve"> </w:t>
      </w:r>
      <w:proofErr w:type="spellStart"/>
      <w:r w:rsidRPr="00A85622">
        <w:rPr>
          <w:rFonts w:ascii="Arial Narrow" w:hAnsi="Arial Narrow" w:cs="Arial"/>
          <w:i/>
          <w:iCs/>
        </w:rPr>
        <w:t>baru</w:t>
      </w:r>
      <w:proofErr w:type="spellEnd"/>
      <w:r w:rsidRPr="00A85622">
        <w:rPr>
          <w:rFonts w:ascii="Arial Narrow" w:hAnsi="Arial Narrow" w:cs="Arial"/>
          <w:i/>
          <w:iCs/>
        </w:rPr>
        <w:t xml:space="preserve"> </w:t>
      </w:r>
      <w:proofErr w:type="spellStart"/>
      <w:r w:rsidRPr="00A85622">
        <w:rPr>
          <w:rFonts w:ascii="Arial Narrow" w:hAnsi="Arial Narrow" w:cs="Arial"/>
          <w:i/>
          <w:iCs/>
        </w:rPr>
        <w:t>lahir</w:t>
      </w:r>
      <w:proofErr w:type="spellEnd"/>
      <w:r w:rsidRPr="00A85622">
        <w:rPr>
          <w:rFonts w:ascii="Arial Narrow" w:hAnsi="Arial Narrow" w:cs="Arial"/>
          <w:i/>
          <w:iCs/>
        </w:rPr>
        <w:t xml:space="preserve"> </w:t>
      </w:r>
      <w:r w:rsidRPr="00A85622">
        <w:rPr>
          <w:rFonts w:ascii="Arial Narrow" w:eastAsia="Times New Roman" w:hAnsi="Arial Narrow" w:cs="Arial"/>
          <w:i/>
          <w:iCs/>
          <w:color w:val="000000"/>
          <w:lang w:eastAsia="id-ID"/>
        </w:rPr>
        <w:t xml:space="preserve">di RSIA Bunda Arif </w:t>
      </w:r>
      <w:proofErr w:type="spellStart"/>
      <w:r w:rsidRPr="00A85622">
        <w:rPr>
          <w:rFonts w:ascii="Arial Narrow" w:eastAsia="Times New Roman" w:hAnsi="Arial Narrow" w:cs="Arial"/>
          <w:i/>
          <w:iCs/>
          <w:color w:val="000000"/>
          <w:lang w:eastAsia="id-ID"/>
        </w:rPr>
        <w:t>Purwokerto</w:t>
      </w:r>
      <w:proofErr w:type="spellEnd"/>
      <w:r w:rsidRPr="00A85622">
        <w:rPr>
          <w:rFonts w:ascii="Arial Narrow" w:eastAsia="Times New Roman" w:hAnsi="Arial Narrow" w:cs="Arial"/>
          <w:i/>
          <w:iCs/>
          <w:color w:val="000000"/>
          <w:lang w:eastAsia="id-ID"/>
        </w:rPr>
        <w:t xml:space="preserve"> </w:t>
      </w:r>
      <w:proofErr w:type="spellStart"/>
      <w:r w:rsidRPr="00A85622">
        <w:rPr>
          <w:rFonts w:ascii="Arial Narrow" w:eastAsia="Times New Roman" w:hAnsi="Arial Narrow" w:cs="Arial"/>
          <w:i/>
          <w:iCs/>
          <w:color w:val="000000"/>
          <w:lang w:eastAsia="id-ID"/>
        </w:rPr>
        <w:t>sebanyak</w:t>
      </w:r>
      <w:proofErr w:type="spellEnd"/>
      <w:r w:rsidRPr="00A85622">
        <w:rPr>
          <w:rFonts w:ascii="Arial Narrow" w:hAnsi="Arial Narrow" w:cs="Arial"/>
          <w:i/>
          <w:iCs/>
          <w:lang w:eastAsia="x-none"/>
        </w:rPr>
        <w:t xml:space="preserve"> 52,8% </w:t>
      </w:r>
      <w:proofErr w:type="spellStart"/>
      <w:r w:rsidRPr="00A85622">
        <w:rPr>
          <w:rFonts w:ascii="Arial Narrow" w:hAnsi="Arial Narrow" w:cs="Arial"/>
          <w:i/>
          <w:iCs/>
          <w:lang w:eastAsia="x-none"/>
        </w:rPr>
        <w:t>mengalami</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persalinan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rPr>
        <w:t>patologis</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rPr>
        <w:t>Kejadian</w:t>
      </w:r>
      <w:proofErr w:type="spellEnd"/>
      <w:r w:rsidRPr="00A85622">
        <w:rPr>
          <w:rFonts w:ascii="Arial Narrow" w:hAnsi="Arial Narrow" w:cs="Arial"/>
          <w:i/>
          <w:iCs/>
        </w:rPr>
        <w:t xml:space="preserve"> </w:t>
      </w:r>
      <w:proofErr w:type="spellStart"/>
      <w:r w:rsidRPr="00A85622">
        <w:rPr>
          <w:rFonts w:ascii="Arial Narrow" w:hAnsi="Arial Narrow" w:cs="Arial"/>
          <w:i/>
          <w:iCs/>
        </w:rPr>
        <w:t>hiperbilirubinemia</w:t>
      </w:r>
      <w:proofErr w:type="spellEnd"/>
      <w:r w:rsidRPr="00A85622">
        <w:rPr>
          <w:rFonts w:ascii="Arial Narrow" w:hAnsi="Arial Narrow" w:cs="Arial"/>
          <w:i/>
          <w:iCs/>
        </w:rPr>
        <w:t xml:space="preserve"> pada </w:t>
      </w:r>
      <w:proofErr w:type="spellStart"/>
      <w:r w:rsidRPr="00A85622">
        <w:rPr>
          <w:rFonts w:ascii="Arial Narrow" w:hAnsi="Arial Narrow" w:cs="Arial"/>
          <w:i/>
          <w:iCs/>
        </w:rPr>
        <w:t>bayi</w:t>
      </w:r>
      <w:proofErr w:type="spellEnd"/>
      <w:r w:rsidRPr="00A85622">
        <w:rPr>
          <w:rFonts w:ascii="Arial Narrow" w:hAnsi="Arial Narrow" w:cs="Arial"/>
          <w:i/>
          <w:iCs/>
        </w:rPr>
        <w:t xml:space="preserve"> </w:t>
      </w:r>
      <w:proofErr w:type="spellStart"/>
      <w:r w:rsidRPr="00A85622">
        <w:rPr>
          <w:rFonts w:ascii="Arial Narrow" w:hAnsi="Arial Narrow" w:cs="Arial"/>
          <w:i/>
          <w:iCs/>
        </w:rPr>
        <w:t>baru</w:t>
      </w:r>
      <w:proofErr w:type="spellEnd"/>
      <w:r w:rsidRPr="00A85622">
        <w:rPr>
          <w:rFonts w:ascii="Arial Narrow" w:hAnsi="Arial Narrow" w:cs="Arial"/>
          <w:i/>
          <w:iCs/>
        </w:rPr>
        <w:t xml:space="preserve"> </w:t>
      </w:r>
      <w:proofErr w:type="spellStart"/>
      <w:r w:rsidRPr="00A85622">
        <w:rPr>
          <w:rFonts w:ascii="Arial Narrow" w:hAnsi="Arial Narrow" w:cs="Arial"/>
          <w:i/>
          <w:iCs/>
        </w:rPr>
        <w:t>lahir</w:t>
      </w:r>
      <w:proofErr w:type="spellEnd"/>
      <w:r w:rsidRPr="00A85622">
        <w:rPr>
          <w:rFonts w:ascii="Arial Narrow" w:hAnsi="Arial Narrow" w:cs="Arial"/>
          <w:i/>
          <w:iCs/>
        </w:rPr>
        <w:t xml:space="preserve"> </w:t>
      </w:r>
      <w:r w:rsidRPr="00A85622">
        <w:rPr>
          <w:rFonts w:ascii="Arial Narrow" w:eastAsia="Times New Roman" w:hAnsi="Arial Narrow" w:cs="Arial"/>
          <w:i/>
          <w:iCs/>
          <w:color w:val="000000"/>
          <w:lang w:eastAsia="id-ID"/>
        </w:rPr>
        <w:t xml:space="preserve">di RSIA Bunda Arif </w:t>
      </w:r>
      <w:proofErr w:type="spellStart"/>
      <w:r w:rsidRPr="00A85622">
        <w:rPr>
          <w:rFonts w:ascii="Arial Narrow" w:eastAsia="Times New Roman" w:hAnsi="Arial Narrow" w:cs="Arial"/>
          <w:i/>
          <w:iCs/>
          <w:color w:val="000000"/>
          <w:lang w:eastAsia="id-ID"/>
        </w:rPr>
        <w:t>Purwokerto</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sebanyak</w:t>
      </w:r>
      <w:proofErr w:type="spellEnd"/>
      <w:r w:rsidRPr="00A85622">
        <w:rPr>
          <w:rFonts w:ascii="Arial Narrow" w:hAnsi="Arial Narrow" w:cs="Arial"/>
          <w:i/>
          <w:iCs/>
          <w:lang w:eastAsia="x-none"/>
        </w:rPr>
        <w:t xml:space="preserve"> 36% </w:t>
      </w:r>
      <w:proofErr w:type="spellStart"/>
      <w:r w:rsidRPr="00A85622">
        <w:rPr>
          <w:rFonts w:ascii="Arial Narrow" w:hAnsi="Arial Narrow" w:cs="Arial"/>
          <w:i/>
          <w:iCs/>
          <w:lang w:eastAsia="x-none"/>
        </w:rPr>
        <w:t>mengalami</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hiperbilirubinemia</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rPr>
        <w:t>dalam</w:t>
      </w:r>
      <w:proofErr w:type="spellEnd"/>
      <w:r w:rsidRPr="00A85622">
        <w:rPr>
          <w:rFonts w:ascii="Arial Narrow" w:hAnsi="Arial Narrow" w:cs="Arial"/>
          <w:i/>
          <w:iCs/>
        </w:rPr>
        <w:t xml:space="preserve"> </w:t>
      </w:r>
      <w:proofErr w:type="spellStart"/>
      <w:r w:rsidRPr="00A85622">
        <w:rPr>
          <w:rFonts w:ascii="Arial Narrow" w:hAnsi="Arial Narrow" w:cs="Arial"/>
          <w:i/>
          <w:iCs/>
        </w:rPr>
        <w:t>kategori</w:t>
      </w:r>
      <w:proofErr w:type="spellEnd"/>
      <w:r w:rsidRPr="00A85622">
        <w:rPr>
          <w:rFonts w:ascii="Arial Narrow" w:hAnsi="Arial Narrow" w:cs="Arial"/>
          <w:i/>
          <w:iCs/>
        </w:rPr>
        <w:t xml:space="preserve"> </w:t>
      </w:r>
      <w:proofErr w:type="spellStart"/>
      <w:r w:rsidRPr="00A85622">
        <w:rPr>
          <w:rFonts w:ascii="Arial Narrow" w:hAnsi="Arial Narrow" w:cs="Arial"/>
          <w:i/>
          <w:iCs/>
        </w:rPr>
        <w:t>derajat</w:t>
      </w:r>
      <w:proofErr w:type="spellEnd"/>
      <w:r w:rsidRPr="00A85622">
        <w:rPr>
          <w:rFonts w:ascii="Arial Narrow" w:hAnsi="Arial Narrow" w:cs="Arial"/>
          <w:i/>
          <w:iCs/>
        </w:rPr>
        <w:t xml:space="preserve"> V</w:t>
      </w:r>
      <w:r w:rsidRPr="00A85622">
        <w:rPr>
          <w:rFonts w:ascii="Arial Narrow" w:hAnsi="Arial Narrow" w:cs="Arial"/>
          <w:i/>
          <w:iCs/>
          <w:lang w:eastAsia="x-none"/>
        </w:rPr>
        <w:t>. Ada h</w:t>
      </w:r>
      <w:proofErr w:type="spellStart"/>
      <w:r w:rsidRPr="00A85622">
        <w:rPr>
          <w:rFonts w:ascii="Arial Narrow" w:hAnsi="Arial Narrow" w:cs="Arial"/>
          <w:i/>
          <w:iCs/>
          <w:lang w:val="x-none" w:eastAsia="x-none"/>
        </w:rPr>
        <w:t>ubungan</w:t>
      </w:r>
      <w:proofErr w:type="spellEnd"/>
      <w:r w:rsidRPr="00A85622">
        <w:rPr>
          <w:rFonts w:ascii="Arial Narrow" w:hAnsi="Arial Narrow" w:cs="Arial"/>
          <w:i/>
          <w:iCs/>
        </w:rPr>
        <w:t xml:space="preserve"> </w:t>
      </w:r>
      <w:proofErr w:type="spellStart"/>
      <w:r w:rsidRPr="00A85622">
        <w:rPr>
          <w:rFonts w:ascii="Arial Narrow" w:hAnsi="Arial Narrow" w:cs="Arial"/>
          <w:bCs/>
          <w:i/>
          <w:iCs/>
        </w:rPr>
        <w:t>persalinan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patologis</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terhadap</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kejadian</w:t>
      </w:r>
      <w:proofErr w:type="spellEnd"/>
      <w:r w:rsidRPr="00A85622">
        <w:rPr>
          <w:rFonts w:ascii="Arial Narrow" w:hAnsi="Arial Narrow" w:cs="Arial"/>
          <w:bCs/>
          <w:i/>
          <w:iCs/>
        </w:rPr>
        <w:t xml:space="preserve"> </w:t>
      </w:r>
      <w:proofErr w:type="spellStart"/>
      <w:r w:rsidRPr="00A85622">
        <w:rPr>
          <w:rFonts w:ascii="Arial Narrow" w:hAnsi="Arial Narrow" w:cs="Arial"/>
          <w:bCs/>
          <w:i/>
          <w:iCs/>
        </w:rPr>
        <w:t>hiperbilirubinemia</w:t>
      </w:r>
      <w:proofErr w:type="spellEnd"/>
      <w:r w:rsidRPr="00A85622">
        <w:rPr>
          <w:rFonts w:ascii="Arial Narrow" w:hAnsi="Arial Narrow" w:cs="Arial"/>
          <w:i/>
          <w:iCs/>
        </w:rPr>
        <w:t xml:space="preserve"> pada </w:t>
      </w:r>
      <w:proofErr w:type="spellStart"/>
      <w:r w:rsidRPr="00A85622">
        <w:rPr>
          <w:rFonts w:ascii="Arial Narrow" w:hAnsi="Arial Narrow" w:cs="Arial"/>
          <w:i/>
          <w:iCs/>
        </w:rPr>
        <w:t>bayi</w:t>
      </w:r>
      <w:proofErr w:type="spellEnd"/>
      <w:r w:rsidRPr="00A85622">
        <w:rPr>
          <w:rFonts w:ascii="Arial Narrow" w:hAnsi="Arial Narrow" w:cs="Arial"/>
          <w:i/>
          <w:iCs/>
        </w:rPr>
        <w:t xml:space="preserve"> </w:t>
      </w:r>
      <w:proofErr w:type="spellStart"/>
      <w:r w:rsidRPr="00A85622">
        <w:rPr>
          <w:rFonts w:ascii="Arial Narrow" w:hAnsi="Arial Narrow" w:cs="Arial"/>
          <w:i/>
          <w:iCs/>
        </w:rPr>
        <w:t>baru</w:t>
      </w:r>
      <w:proofErr w:type="spellEnd"/>
      <w:r w:rsidRPr="00A85622">
        <w:rPr>
          <w:rFonts w:ascii="Arial Narrow" w:hAnsi="Arial Narrow" w:cs="Arial"/>
          <w:i/>
          <w:iCs/>
        </w:rPr>
        <w:t xml:space="preserve"> </w:t>
      </w:r>
      <w:proofErr w:type="spellStart"/>
      <w:r w:rsidRPr="00A85622">
        <w:rPr>
          <w:rFonts w:ascii="Arial Narrow" w:hAnsi="Arial Narrow" w:cs="Arial"/>
          <w:i/>
          <w:iCs/>
        </w:rPr>
        <w:t>lahir</w:t>
      </w:r>
      <w:proofErr w:type="spellEnd"/>
      <w:r w:rsidRPr="00A85622">
        <w:rPr>
          <w:rFonts w:ascii="Arial Narrow" w:hAnsi="Arial Narrow" w:cs="Arial"/>
          <w:i/>
          <w:iCs/>
        </w:rPr>
        <w:t xml:space="preserve"> </w:t>
      </w:r>
      <w:r w:rsidRPr="00A85622">
        <w:rPr>
          <w:rFonts w:ascii="Arial Narrow" w:eastAsia="Times New Roman" w:hAnsi="Arial Narrow" w:cs="Arial"/>
          <w:i/>
          <w:iCs/>
          <w:color w:val="000000"/>
          <w:lang w:eastAsia="id-ID"/>
        </w:rPr>
        <w:t xml:space="preserve">di RSIA Bunda Arif </w:t>
      </w:r>
      <w:proofErr w:type="spellStart"/>
      <w:r w:rsidRPr="00A85622">
        <w:rPr>
          <w:rFonts w:ascii="Arial Narrow" w:eastAsia="Times New Roman" w:hAnsi="Arial Narrow" w:cs="Arial"/>
          <w:i/>
          <w:iCs/>
          <w:color w:val="000000"/>
          <w:lang w:eastAsia="id-ID"/>
        </w:rPr>
        <w:t>Purwokerto</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dengan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kekuatan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sedang</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nilai</w:t>
      </w:r>
      <w:proofErr w:type="spellEnd"/>
      <w:r w:rsidRPr="00A85622">
        <w:rPr>
          <w:rFonts w:ascii="Arial Narrow" w:hAnsi="Arial Narrow" w:cs="Arial"/>
          <w:i/>
          <w:iCs/>
          <w:lang w:eastAsia="x-none"/>
        </w:rPr>
        <w:t xml:space="preserve"> p-value </w:t>
      </w:r>
      <w:proofErr w:type="spellStart"/>
      <w:r w:rsidRPr="00A85622">
        <w:rPr>
          <w:rFonts w:ascii="Arial Narrow" w:hAnsi="Arial Narrow" w:cs="Arial"/>
          <w:i/>
          <w:iCs/>
          <w:lang w:eastAsia="x-none"/>
        </w:rPr>
        <w:t>sebesar</w:t>
      </w:r>
      <w:proofErr w:type="spellEnd"/>
      <w:r w:rsidRPr="00A85622">
        <w:rPr>
          <w:rFonts w:ascii="Arial Narrow" w:hAnsi="Arial Narrow" w:cs="Arial"/>
          <w:i/>
          <w:iCs/>
          <w:lang w:eastAsia="x-none"/>
        </w:rPr>
        <w:t xml:space="preserve"> 0.0001 (p-value &lt; α) dan lambda (</w:t>
      </w:r>
      <w:r w:rsidRPr="00A85622">
        <w:rPr>
          <w:rFonts w:ascii="Arial Narrow" w:hAnsi="Arial Narrow" w:cs="Arial"/>
          <w:i/>
          <w:iCs/>
          <w:lang w:val="sv-SE"/>
        </w:rPr>
        <w:t>λ) 0.576.</w:t>
      </w:r>
      <w:r w:rsidRPr="00A85622">
        <w:rPr>
          <w:rFonts w:ascii="Arial Narrow" w:hAnsi="Arial Narrow" w:cs="Arial"/>
          <w:i/>
          <w:iCs/>
        </w:rPr>
        <w:t xml:space="preserve"> </w:t>
      </w:r>
    </w:p>
    <w:p w14:paraId="7E1ADEEB" w14:textId="13465282" w:rsidR="00A85622" w:rsidRDefault="00A85622" w:rsidP="0022401B">
      <w:pPr>
        <w:spacing w:line="240" w:lineRule="auto"/>
        <w:ind w:right="-1"/>
        <w:jc w:val="both"/>
        <w:rPr>
          <w:rFonts w:ascii="Arial Narrow" w:hAnsi="Arial Narrow" w:cs="Arial"/>
          <w:i/>
          <w:iCs/>
          <w:lang w:eastAsia="x-none"/>
        </w:rPr>
      </w:pPr>
      <w:r w:rsidRPr="00A85622">
        <w:rPr>
          <w:rFonts w:ascii="Arial Narrow" w:eastAsia="Bookman Old Style" w:hAnsi="Arial Narrow" w:cs="Arial"/>
          <w:b/>
          <w:i/>
          <w:iCs/>
          <w:color w:val="000000"/>
        </w:rPr>
        <w:t xml:space="preserve">Kesimpulan: </w:t>
      </w:r>
      <w:r w:rsidRPr="00A85622">
        <w:rPr>
          <w:rFonts w:ascii="Arial Narrow" w:eastAsia="Bookman Old Style" w:hAnsi="Arial Narrow" w:cs="Arial"/>
          <w:bCs/>
          <w:i/>
          <w:iCs/>
          <w:color w:val="000000"/>
        </w:rPr>
        <w:t xml:space="preserve">Jenis </w:t>
      </w:r>
      <w:proofErr w:type="spellStart"/>
      <w:r w:rsidRPr="00A85622">
        <w:rPr>
          <w:rFonts w:ascii="Arial Narrow" w:eastAsia="Bookman Old Style" w:hAnsi="Arial Narrow" w:cs="Arial"/>
          <w:bCs/>
          <w:i/>
          <w:iCs/>
          <w:color w:val="000000"/>
        </w:rPr>
        <w:t>persalinan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memiliki</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hubungan</w:t>
      </w:r>
      <w:proofErr w:type="spellEnd"/>
      <w:r w:rsidRPr="00A85622">
        <w:rPr>
          <w:rFonts w:ascii="Arial Narrow" w:hAnsi="Arial Narrow" w:cs="Arial"/>
          <w:i/>
          <w:iCs/>
          <w:lang w:eastAsia="x-none"/>
        </w:rPr>
        <w:t xml:space="preserve"> yang </w:t>
      </w:r>
      <w:proofErr w:type="spellStart"/>
      <w:r w:rsidRPr="00A85622">
        <w:rPr>
          <w:rFonts w:ascii="Arial Narrow" w:hAnsi="Arial Narrow" w:cs="Arial"/>
          <w:i/>
          <w:iCs/>
          <w:lang w:eastAsia="x-none"/>
        </w:rPr>
        <w:t>sedang</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dengan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kejadian</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hiperbilirubinemia</w:t>
      </w:r>
      <w:proofErr w:type="spellEnd"/>
      <w:r w:rsidRPr="00A85622">
        <w:rPr>
          <w:rFonts w:ascii="Arial Narrow" w:hAnsi="Arial Narrow" w:cs="Arial"/>
          <w:i/>
          <w:iCs/>
          <w:lang w:eastAsia="x-none"/>
        </w:rPr>
        <w:t xml:space="preserve"> pada </w:t>
      </w:r>
      <w:proofErr w:type="spellStart"/>
      <w:r w:rsidRPr="00A85622">
        <w:rPr>
          <w:rFonts w:ascii="Arial Narrow" w:hAnsi="Arial Narrow" w:cs="Arial"/>
          <w:i/>
          <w:iCs/>
          <w:lang w:eastAsia="x-none"/>
        </w:rPr>
        <w:t>bayi</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baru</w:t>
      </w:r>
      <w:proofErr w:type="spellEnd"/>
      <w:r w:rsidRPr="00A85622">
        <w:rPr>
          <w:rFonts w:ascii="Arial Narrow" w:hAnsi="Arial Narrow" w:cs="Arial"/>
          <w:i/>
          <w:iCs/>
          <w:lang w:eastAsia="x-none"/>
        </w:rPr>
        <w:t xml:space="preserve"> </w:t>
      </w:r>
      <w:proofErr w:type="spellStart"/>
      <w:r w:rsidRPr="00A85622">
        <w:rPr>
          <w:rFonts w:ascii="Arial Narrow" w:hAnsi="Arial Narrow" w:cs="Arial"/>
          <w:i/>
          <w:iCs/>
          <w:lang w:eastAsia="x-none"/>
        </w:rPr>
        <w:t>lahir</w:t>
      </w:r>
      <w:proofErr w:type="spellEnd"/>
      <w:r w:rsidRPr="00A85622">
        <w:rPr>
          <w:rFonts w:ascii="Arial Narrow" w:hAnsi="Arial Narrow" w:cs="Arial"/>
          <w:i/>
          <w:iCs/>
          <w:lang w:eastAsia="x-none"/>
        </w:rPr>
        <w:t>.</w:t>
      </w:r>
    </w:p>
    <w:p w14:paraId="375A97DE" w14:textId="77777777" w:rsidR="0022401B" w:rsidRPr="00A85622" w:rsidRDefault="0022401B" w:rsidP="0022401B">
      <w:pPr>
        <w:spacing w:line="240" w:lineRule="auto"/>
        <w:ind w:right="-1"/>
        <w:jc w:val="both"/>
        <w:rPr>
          <w:rFonts w:ascii="Arial Narrow" w:hAnsi="Arial Narrow" w:cs="Arial"/>
          <w:i/>
          <w:iCs/>
        </w:rPr>
      </w:pPr>
    </w:p>
    <w:p w14:paraId="1FA0F8A3" w14:textId="77777777" w:rsidR="00A85622" w:rsidRPr="00A85622" w:rsidRDefault="00A85622" w:rsidP="0022401B">
      <w:pPr>
        <w:spacing w:before="120" w:after="120" w:line="240" w:lineRule="auto"/>
        <w:jc w:val="both"/>
        <w:rPr>
          <w:rFonts w:ascii="Arial Narrow" w:eastAsia="Bookman Old Style" w:hAnsi="Arial Narrow" w:cs="Arial"/>
          <w:i/>
          <w:iCs/>
          <w:color w:val="000000"/>
        </w:rPr>
      </w:pPr>
      <w:r w:rsidRPr="00A85622">
        <w:rPr>
          <w:rFonts w:ascii="Arial Narrow" w:hAnsi="Arial Narrow" w:cs="Arial"/>
          <w:b/>
          <w:i/>
          <w:iCs/>
        </w:rPr>
        <w:t xml:space="preserve">Kata </w:t>
      </w:r>
      <w:proofErr w:type="spellStart"/>
      <w:r w:rsidRPr="00A85622">
        <w:rPr>
          <w:rFonts w:ascii="Arial Narrow" w:hAnsi="Arial Narrow" w:cs="Arial"/>
          <w:b/>
          <w:i/>
          <w:iCs/>
        </w:rPr>
        <w:t>Kunci</w:t>
      </w:r>
      <w:proofErr w:type="spellEnd"/>
      <w:r w:rsidRPr="00A85622">
        <w:rPr>
          <w:rFonts w:ascii="Arial Narrow" w:eastAsia="Bookman Old Style" w:hAnsi="Arial Narrow" w:cs="Arial"/>
          <w:b/>
          <w:i/>
          <w:iCs/>
          <w:color w:val="000000"/>
        </w:rPr>
        <w:t xml:space="preserve">: </w:t>
      </w:r>
      <w:r w:rsidRPr="00A85622">
        <w:rPr>
          <w:rFonts w:ascii="Arial Narrow" w:eastAsia="Bookman Old Style" w:hAnsi="Arial Narrow" w:cs="Arial"/>
          <w:i/>
          <w:iCs/>
          <w:color w:val="000000"/>
        </w:rPr>
        <w:t xml:space="preserve">Jenis </w:t>
      </w:r>
      <w:proofErr w:type="spellStart"/>
      <w:r w:rsidRPr="00A85622">
        <w:rPr>
          <w:rFonts w:ascii="Arial Narrow" w:eastAsia="Bookman Old Style" w:hAnsi="Arial Narrow" w:cs="Arial"/>
          <w:i/>
          <w:iCs/>
          <w:color w:val="000000"/>
        </w:rPr>
        <w:t>Persalinan</w:t>
      </w:r>
      <w:proofErr w:type="spellEnd"/>
      <w:r w:rsidRPr="00A85622">
        <w:rPr>
          <w:rFonts w:ascii="Arial Narrow" w:eastAsia="Bookman Old Style" w:hAnsi="Arial Narrow" w:cs="Arial"/>
          <w:i/>
          <w:iCs/>
          <w:color w:val="000000"/>
        </w:rPr>
        <w:t xml:space="preserve">, </w:t>
      </w:r>
      <w:proofErr w:type="spellStart"/>
      <w:r w:rsidRPr="00A85622">
        <w:rPr>
          <w:rFonts w:ascii="Arial Narrow" w:eastAsia="Bookman Old Style" w:hAnsi="Arial Narrow" w:cs="Arial"/>
          <w:i/>
          <w:iCs/>
          <w:color w:val="000000"/>
        </w:rPr>
        <w:t>Hiperbilirubinemia</w:t>
      </w:r>
      <w:proofErr w:type="spellEnd"/>
      <w:r w:rsidRPr="00A85622">
        <w:rPr>
          <w:rFonts w:ascii="Arial Narrow" w:eastAsia="Bookman Old Style" w:hAnsi="Arial Narrow" w:cs="Arial"/>
          <w:i/>
          <w:iCs/>
          <w:color w:val="000000"/>
        </w:rPr>
        <w:t>, Bayi Baru Lahir</w:t>
      </w:r>
    </w:p>
    <w:p w14:paraId="51DF957C" w14:textId="77777777" w:rsidR="00A85622" w:rsidRDefault="00A85622" w:rsidP="00A85622">
      <w:pPr>
        <w:spacing w:after="0" w:line="240" w:lineRule="auto"/>
        <w:jc w:val="both"/>
        <w:rPr>
          <w:rFonts w:ascii="Arial Narrow" w:eastAsia="Times New Roman" w:hAnsi="Arial Narrow" w:cs="Times New Roman"/>
          <w:b/>
          <w:bCs/>
          <w:color w:val="000000"/>
          <w:kern w:val="0"/>
          <w14:ligatures w14:val="none"/>
        </w:rPr>
      </w:pPr>
    </w:p>
    <w:p w14:paraId="08A38819" w14:textId="30BA667C" w:rsidR="00B008E5" w:rsidRDefault="00B008E5" w:rsidP="00A85622">
      <w:pPr>
        <w:spacing w:after="0" w:line="240" w:lineRule="auto"/>
        <w:jc w:val="both"/>
        <w:rPr>
          <w:rFonts w:ascii="Arial Narrow" w:eastAsia="Times New Roman" w:hAnsi="Arial Narrow" w:cs="Times New Roman"/>
          <w:b/>
          <w:bCs/>
          <w:color w:val="000000"/>
          <w:kern w:val="0"/>
          <w14:ligatures w14:val="none"/>
        </w:rPr>
      </w:pPr>
      <w:r>
        <w:rPr>
          <w:rFonts w:ascii="Arial Narrow" w:hAnsi="Arial Narrow"/>
          <w:b/>
          <w:bCs/>
          <w:color w:val="000000"/>
          <w:sz w:val="20"/>
          <w:szCs w:val="20"/>
        </w:rPr>
        <w:t>INTRODUCTION</w:t>
      </w:r>
    </w:p>
    <w:p w14:paraId="36B389E3" w14:textId="67BF3C8E" w:rsidR="00853B32" w:rsidRPr="00853B32" w:rsidRDefault="00853B32" w:rsidP="00B008E5">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One of the metrics used to evaluate the effectiveness of a nation's health services is the infant mortality rate (IMR) (</w:t>
      </w:r>
      <w:proofErr w:type="spellStart"/>
      <w:r>
        <w:rPr>
          <w:rFonts w:ascii="Arial Narrow" w:eastAsia="Times New Roman" w:hAnsi="Arial Narrow" w:cs="Arial"/>
          <w:color w:val="000000"/>
          <w:sz w:val="22"/>
          <w:szCs w:val="22"/>
          <w:lang w:eastAsia="id-ID"/>
        </w:rPr>
        <w:t>Kemenkes</w:t>
      </w:r>
      <w:proofErr w:type="spellEnd"/>
      <w:r>
        <w:rPr>
          <w:rFonts w:ascii="Arial Narrow" w:eastAsia="Times New Roman" w:hAnsi="Arial Narrow" w:cs="Arial"/>
          <w:color w:val="000000"/>
          <w:sz w:val="22"/>
          <w:szCs w:val="22"/>
          <w:lang w:eastAsia="id-ID"/>
        </w:rPr>
        <w:t xml:space="preserve"> RI</w:t>
      </w:r>
      <w:r w:rsidRPr="00853B32">
        <w:rPr>
          <w:rFonts w:ascii="Arial Narrow" w:eastAsia="Times New Roman" w:hAnsi="Arial Narrow" w:cs="Arial"/>
          <w:color w:val="000000"/>
          <w:sz w:val="22"/>
          <w:szCs w:val="22"/>
          <w:lang w:eastAsia="id-ID"/>
        </w:rPr>
        <w:t>, 2021). The number of newborn babies who die before they are exactly one year old in 1000 live births (KH) is known as the infant mortality rate (IMR) (UNICEF, 2022). Based on UNICEF data (2022), it is known that the IMR in the world in 2021 will reach 27.3 per 1000 KH with an average IMR of 22.5 per 1000 KH, where the highest IMR is in Afghanistan at 110.6 per 1000 KH and Indonesia is one of the countries with an IMR above the average is 22.7 per 1000 KH.</w:t>
      </w:r>
    </w:p>
    <w:p w14:paraId="20BD9020" w14:textId="71FEF8E4" w:rsidR="00853B32" w:rsidRPr="00853B32" w:rsidRDefault="00853B32" w:rsidP="00853B32">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 xml:space="preserve">Based on data from the Indonesian Ministry of Health (2021), it is known that the IMR in 2020 was 20,266 cases, an increase compared to 2019, namely 20,244 cases. The highest IMR in 2020 occurred in Central Java Province with 3,031 cases and the lowest in North Sulawesi Province with 40 cases. The causes of high IMR are LBW (35.2%), asphyxia (27.3%), congenital abnormalities (11.3%) and infection (3.4%). Based on data from the </w:t>
      </w:r>
      <w:proofErr w:type="spellStart"/>
      <w:r w:rsidRPr="00853B32">
        <w:rPr>
          <w:rFonts w:ascii="Arial Narrow" w:eastAsia="Times New Roman" w:hAnsi="Arial Narrow" w:cs="Arial"/>
          <w:color w:val="000000"/>
          <w:sz w:val="22"/>
          <w:szCs w:val="22"/>
          <w:lang w:eastAsia="id-ID"/>
        </w:rPr>
        <w:t>Banyumas</w:t>
      </w:r>
      <w:proofErr w:type="spellEnd"/>
      <w:r w:rsidRPr="00853B32">
        <w:rPr>
          <w:rFonts w:ascii="Arial Narrow" w:eastAsia="Times New Roman" w:hAnsi="Arial Narrow" w:cs="Arial"/>
          <w:color w:val="000000"/>
          <w:sz w:val="22"/>
          <w:szCs w:val="22"/>
          <w:lang w:eastAsia="id-ID"/>
        </w:rPr>
        <w:t xml:space="preserve"> District Health Service (2021), it is known that the 2020 IMR was 7.06 per 1000 KH (187 cases) which has not reached the </w:t>
      </w:r>
      <w:r w:rsidR="00B008E5" w:rsidRPr="0022401B">
        <w:rPr>
          <w:rFonts w:ascii="Arial Narrow" w:eastAsia="Times New Roman" w:hAnsi="Arial Narrow" w:cs="Arial"/>
          <w:color w:val="000000"/>
          <w:sz w:val="22"/>
          <w:szCs w:val="22"/>
          <w:lang w:val="da-DK" w:eastAsia="id-ID"/>
        </w:rPr>
        <w:t>Rencana Pembangunan Jangka Menengah Daerah (RPJMD)</w:t>
      </w:r>
      <w:r w:rsidRPr="00853B32">
        <w:rPr>
          <w:rFonts w:ascii="Arial Narrow" w:eastAsia="Times New Roman" w:hAnsi="Arial Narrow" w:cs="Arial"/>
          <w:color w:val="000000"/>
          <w:sz w:val="22"/>
          <w:szCs w:val="22"/>
          <w:lang w:eastAsia="id-ID"/>
        </w:rPr>
        <w:t xml:space="preserve"> target of 7 per 1000 KH.</w:t>
      </w:r>
    </w:p>
    <w:p w14:paraId="234EDA1E" w14:textId="77777777" w:rsidR="00853B32" w:rsidRPr="00853B32" w:rsidRDefault="00853B32" w:rsidP="00853B32">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One of the causes of IMR is infection, which can also cause complications in neonates such as meningitis, seizures, hypothermia, hyperbilirubinemia, respiratory problems and drinking (</w:t>
      </w:r>
      <w:proofErr w:type="spellStart"/>
      <w:r w:rsidRPr="00853B32">
        <w:rPr>
          <w:rFonts w:ascii="Arial Narrow" w:eastAsia="Times New Roman" w:hAnsi="Arial Narrow" w:cs="Arial"/>
          <w:color w:val="000000"/>
          <w:sz w:val="22"/>
          <w:szCs w:val="22"/>
          <w:lang w:eastAsia="id-ID"/>
        </w:rPr>
        <w:t>Halisanti</w:t>
      </w:r>
      <w:proofErr w:type="spellEnd"/>
      <w:r w:rsidRPr="00853B32">
        <w:rPr>
          <w:rFonts w:ascii="Arial Narrow" w:eastAsia="Times New Roman" w:hAnsi="Arial Narrow" w:cs="Arial"/>
          <w:color w:val="000000"/>
          <w:sz w:val="22"/>
          <w:szCs w:val="22"/>
          <w:lang w:eastAsia="id-ID"/>
        </w:rPr>
        <w:t xml:space="preserve"> &amp; Wildan, 2021). Hyperbilirubinemia is the only infectious complication that can attack newborns throughout the world and causes the IMR to increase to 23.1% (Lawn et al., 2019). Hyperbilirubinemia in newborns can be a physiological symptom or it can be pathological. The pathological effects on each baby are different, this can be caused by high serum bilirubin levels of &gt;5mg/dL in the blood (Johan &amp; </w:t>
      </w:r>
      <w:proofErr w:type="spellStart"/>
      <w:r w:rsidRPr="00853B32">
        <w:rPr>
          <w:rFonts w:ascii="Arial Narrow" w:eastAsia="Times New Roman" w:hAnsi="Arial Narrow" w:cs="Arial"/>
          <w:color w:val="000000"/>
          <w:sz w:val="22"/>
          <w:szCs w:val="22"/>
          <w:lang w:eastAsia="id-ID"/>
        </w:rPr>
        <w:t>Noorbaya</w:t>
      </w:r>
      <w:proofErr w:type="spellEnd"/>
      <w:r w:rsidRPr="00853B32">
        <w:rPr>
          <w:rFonts w:ascii="Arial Narrow" w:eastAsia="Times New Roman" w:hAnsi="Arial Narrow" w:cs="Arial"/>
          <w:color w:val="000000"/>
          <w:sz w:val="22"/>
          <w:szCs w:val="22"/>
          <w:lang w:eastAsia="id-ID"/>
        </w:rPr>
        <w:t xml:space="preserve">, 2019). Waluyo's research (2016) showed that the incidence of hyperbilirubinemia in babies at </w:t>
      </w:r>
      <w:proofErr w:type="spellStart"/>
      <w:r w:rsidRPr="00853B32">
        <w:rPr>
          <w:rFonts w:ascii="Arial Narrow" w:eastAsia="Times New Roman" w:hAnsi="Arial Narrow" w:cs="Arial"/>
          <w:color w:val="000000"/>
          <w:sz w:val="22"/>
          <w:szCs w:val="22"/>
          <w:lang w:eastAsia="id-ID"/>
        </w:rPr>
        <w:t>Banyumas</w:t>
      </w:r>
      <w:proofErr w:type="spellEnd"/>
      <w:r w:rsidRPr="00853B32">
        <w:rPr>
          <w:rFonts w:ascii="Arial Narrow" w:eastAsia="Times New Roman" w:hAnsi="Arial Narrow" w:cs="Arial"/>
          <w:color w:val="000000"/>
          <w:sz w:val="22"/>
          <w:szCs w:val="22"/>
          <w:lang w:eastAsia="id-ID"/>
        </w:rPr>
        <w:t xml:space="preserve"> District Hospital reached 31%.</w:t>
      </w:r>
    </w:p>
    <w:p w14:paraId="2312771C" w14:textId="77777777" w:rsidR="00853B32" w:rsidRPr="00853B32" w:rsidRDefault="00853B32" w:rsidP="00853B32">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Jaundice can be physiological or pathological. Physiological jaundice occurs at ≥ 24 hours of life and disappears ≤ 14 days of life with bilirubin levels on the second to fourth day of 5 – 6 mg/dL and decreases to &lt; 2 mg/dL on the fifth to seventh day, while pathological jaundice occurs on the first day of life. (&lt; 24 hours) or more than 14 days of life with bilirubin levels reaching 5 – 10 mg/dL (</w:t>
      </w:r>
      <w:proofErr w:type="spellStart"/>
      <w:r w:rsidRPr="00853B32">
        <w:rPr>
          <w:rFonts w:ascii="Arial Narrow" w:eastAsia="Times New Roman" w:hAnsi="Arial Narrow" w:cs="Arial"/>
          <w:color w:val="000000"/>
          <w:sz w:val="22"/>
          <w:szCs w:val="22"/>
          <w:lang w:eastAsia="id-ID"/>
        </w:rPr>
        <w:t>Auliasari</w:t>
      </w:r>
      <w:proofErr w:type="spellEnd"/>
      <w:r w:rsidRPr="00853B32">
        <w:rPr>
          <w:rFonts w:ascii="Arial Narrow" w:eastAsia="Times New Roman" w:hAnsi="Arial Narrow" w:cs="Arial"/>
          <w:color w:val="000000"/>
          <w:sz w:val="22"/>
          <w:szCs w:val="22"/>
          <w:lang w:eastAsia="id-ID"/>
        </w:rPr>
        <w:t xml:space="preserve"> et al., 2019). The incidence of hyperbilirubinemia in BBL can be caused by 3 risk factors including maternal factors, perinatal factors and neonatal factors (</w:t>
      </w:r>
      <w:proofErr w:type="spellStart"/>
      <w:r w:rsidRPr="00853B32">
        <w:rPr>
          <w:rFonts w:ascii="Arial Narrow" w:eastAsia="Times New Roman" w:hAnsi="Arial Narrow" w:cs="Arial"/>
          <w:color w:val="000000"/>
          <w:sz w:val="22"/>
          <w:szCs w:val="22"/>
          <w:lang w:eastAsia="id-ID"/>
        </w:rPr>
        <w:t>Marcdante</w:t>
      </w:r>
      <w:proofErr w:type="spellEnd"/>
      <w:r w:rsidRPr="00853B32">
        <w:rPr>
          <w:rFonts w:ascii="Arial Narrow" w:eastAsia="Times New Roman" w:hAnsi="Arial Narrow" w:cs="Arial"/>
          <w:color w:val="000000"/>
          <w:sz w:val="22"/>
          <w:szCs w:val="22"/>
          <w:lang w:eastAsia="id-ID"/>
        </w:rPr>
        <w:t xml:space="preserve"> et al., 2014).</w:t>
      </w:r>
    </w:p>
    <w:p w14:paraId="16702838" w14:textId="77777777" w:rsidR="00853B32" w:rsidRPr="00853B32" w:rsidRDefault="00853B32" w:rsidP="00B008E5">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The perinatal factor that influences hyperbilirubinemia is the type of delivery (</w:t>
      </w:r>
      <w:proofErr w:type="spellStart"/>
      <w:r w:rsidRPr="00853B32">
        <w:rPr>
          <w:rFonts w:ascii="Arial Narrow" w:eastAsia="Times New Roman" w:hAnsi="Arial Narrow" w:cs="Arial"/>
          <w:color w:val="000000"/>
          <w:sz w:val="22"/>
          <w:szCs w:val="22"/>
          <w:lang w:eastAsia="id-ID"/>
        </w:rPr>
        <w:t>Rasyd</w:t>
      </w:r>
      <w:proofErr w:type="spellEnd"/>
      <w:r w:rsidRPr="00853B32">
        <w:rPr>
          <w:rFonts w:ascii="Arial Narrow" w:eastAsia="Times New Roman" w:hAnsi="Arial Narrow" w:cs="Arial"/>
          <w:color w:val="000000"/>
          <w:sz w:val="22"/>
          <w:szCs w:val="22"/>
          <w:lang w:eastAsia="id-ID"/>
        </w:rPr>
        <w:t xml:space="preserve">, 2019). Research conducted by Rini (2016) found that there was a relationship between the type of delivery (p=0.001) and the incidence of neonatal jaundice. Research by </w:t>
      </w:r>
      <w:proofErr w:type="spellStart"/>
      <w:r w:rsidRPr="00853B32">
        <w:rPr>
          <w:rFonts w:ascii="Arial Narrow" w:eastAsia="Times New Roman" w:hAnsi="Arial Narrow" w:cs="Arial"/>
          <w:color w:val="000000"/>
          <w:sz w:val="22"/>
          <w:szCs w:val="22"/>
          <w:lang w:eastAsia="id-ID"/>
        </w:rPr>
        <w:t>Madiastuti</w:t>
      </w:r>
      <w:proofErr w:type="spellEnd"/>
      <w:r w:rsidRPr="00853B32">
        <w:rPr>
          <w:rFonts w:ascii="Arial Narrow" w:eastAsia="Times New Roman" w:hAnsi="Arial Narrow" w:cs="Arial"/>
          <w:color w:val="000000"/>
          <w:sz w:val="22"/>
          <w:szCs w:val="22"/>
          <w:lang w:eastAsia="id-ID"/>
        </w:rPr>
        <w:t xml:space="preserve"> &amp; </w:t>
      </w:r>
      <w:proofErr w:type="spellStart"/>
      <w:r w:rsidRPr="00853B32">
        <w:rPr>
          <w:rFonts w:ascii="Arial Narrow" w:eastAsia="Times New Roman" w:hAnsi="Arial Narrow" w:cs="Arial"/>
          <w:color w:val="000000"/>
          <w:sz w:val="22"/>
          <w:szCs w:val="22"/>
          <w:lang w:eastAsia="id-ID"/>
        </w:rPr>
        <w:t>Chalada</w:t>
      </w:r>
      <w:proofErr w:type="spellEnd"/>
      <w:r w:rsidRPr="00853B32">
        <w:rPr>
          <w:rFonts w:ascii="Arial Narrow" w:eastAsia="Times New Roman" w:hAnsi="Arial Narrow" w:cs="Arial"/>
          <w:color w:val="000000"/>
          <w:sz w:val="22"/>
          <w:szCs w:val="22"/>
          <w:lang w:eastAsia="id-ID"/>
        </w:rPr>
        <w:t xml:space="preserve"> (2016) shows that the incidence of hyperbilirubinemia in normal </w:t>
      </w:r>
      <w:proofErr w:type="spellStart"/>
      <w:r w:rsidRPr="00853B32">
        <w:rPr>
          <w:rFonts w:ascii="Arial Narrow" w:eastAsia="Times New Roman" w:hAnsi="Arial Narrow" w:cs="Arial"/>
          <w:color w:val="000000"/>
          <w:sz w:val="22"/>
          <w:szCs w:val="22"/>
          <w:lang w:eastAsia="id-ID"/>
        </w:rPr>
        <w:t>labor</w:t>
      </w:r>
      <w:proofErr w:type="spellEnd"/>
      <w:r w:rsidRPr="00853B32">
        <w:rPr>
          <w:rFonts w:ascii="Arial Narrow" w:eastAsia="Times New Roman" w:hAnsi="Arial Narrow" w:cs="Arial"/>
          <w:color w:val="000000"/>
          <w:sz w:val="22"/>
          <w:szCs w:val="22"/>
          <w:lang w:eastAsia="id-ID"/>
        </w:rPr>
        <w:t xml:space="preserve"> is 46.3% and in abnormal/pathological </w:t>
      </w:r>
      <w:proofErr w:type="spellStart"/>
      <w:r w:rsidRPr="00853B32">
        <w:rPr>
          <w:rFonts w:ascii="Arial Narrow" w:eastAsia="Times New Roman" w:hAnsi="Arial Narrow" w:cs="Arial"/>
          <w:color w:val="000000"/>
          <w:sz w:val="22"/>
          <w:szCs w:val="22"/>
          <w:lang w:eastAsia="id-ID"/>
        </w:rPr>
        <w:t>labor</w:t>
      </w:r>
      <w:proofErr w:type="spellEnd"/>
      <w:r w:rsidRPr="00853B32">
        <w:rPr>
          <w:rFonts w:ascii="Arial Narrow" w:eastAsia="Times New Roman" w:hAnsi="Arial Narrow" w:cs="Arial"/>
          <w:color w:val="000000"/>
          <w:sz w:val="22"/>
          <w:szCs w:val="22"/>
          <w:lang w:eastAsia="id-ID"/>
        </w:rPr>
        <w:t xml:space="preserve"> it reaches 68.4%. Childbirth is a normal process that occurs in women physiologically, childbirth can become pathological which can have </w:t>
      </w:r>
      <w:r w:rsidRPr="00853B32">
        <w:rPr>
          <w:rFonts w:ascii="Arial Narrow" w:eastAsia="Times New Roman" w:hAnsi="Arial Narrow" w:cs="Arial"/>
          <w:color w:val="000000"/>
          <w:sz w:val="22"/>
          <w:szCs w:val="22"/>
          <w:lang w:eastAsia="id-ID"/>
        </w:rPr>
        <w:lastRenderedPageBreak/>
        <w:t>negative impacts on the mother and child. The type of pathological delivery is delivery by vacuum/forceps and caesarean section (SC) (Saifuddin, 2014).</w:t>
      </w:r>
    </w:p>
    <w:p w14:paraId="67C3A4EA" w14:textId="77777777" w:rsidR="00853B32" w:rsidRPr="00853B32" w:rsidRDefault="00853B32" w:rsidP="00B008E5">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Babies born with surgery are more likely to experience subsequent respiratory problems. Hepatic hypoperfusion and blockage of the bilirubin conjugation pathway may arise from this. Additionally, babies born via this method do not receive the beneficial bacteria found in the mother's birth canal, which affects how the immune system develops, making them more susceptible to infections. (Berman et al., 2016). Babies born with surgery are more likely to experience subsequent respiratory problems. Hepatic hypoperfusion and blockage of the bilirubin conjugation pathway may arise from this. Additionally, babies born via this method do not receive the beneficial bacteria found in the mother's birth canal, which affects how the immune system develops, making them more susceptible to infections (</w:t>
      </w:r>
      <w:proofErr w:type="spellStart"/>
      <w:r w:rsidRPr="00853B32">
        <w:rPr>
          <w:rFonts w:ascii="Arial Narrow" w:eastAsia="Times New Roman" w:hAnsi="Arial Narrow" w:cs="Arial"/>
          <w:color w:val="000000"/>
          <w:sz w:val="22"/>
          <w:szCs w:val="22"/>
          <w:lang w:eastAsia="id-ID"/>
        </w:rPr>
        <w:t>Madiastuti</w:t>
      </w:r>
      <w:proofErr w:type="spellEnd"/>
      <w:r w:rsidRPr="00853B32">
        <w:rPr>
          <w:rFonts w:ascii="Arial Narrow" w:eastAsia="Times New Roman" w:hAnsi="Arial Narrow" w:cs="Arial"/>
          <w:color w:val="000000"/>
          <w:sz w:val="22"/>
          <w:szCs w:val="22"/>
          <w:lang w:eastAsia="id-ID"/>
        </w:rPr>
        <w:t xml:space="preserve"> &amp; </w:t>
      </w:r>
      <w:proofErr w:type="spellStart"/>
      <w:r w:rsidRPr="00853B32">
        <w:rPr>
          <w:rFonts w:ascii="Arial Narrow" w:eastAsia="Times New Roman" w:hAnsi="Arial Narrow" w:cs="Arial"/>
          <w:color w:val="000000"/>
          <w:sz w:val="22"/>
          <w:szCs w:val="22"/>
          <w:lang w:eastAsia="id-ID"/>
        </w:rPr>
        <w:t>Chalada</w:t>
      </w:r>
      <w:proofErr w:type="spellEnd"/>
      <w:r w:rsidRPr="00853B32">
        <w:rPr>
          <w:rFonts w:ascii="Arial Narrow" w:eastAsia="Times New Roman" w:hAnsi="Arial Narrow" w:cs="Arial"/>
          <w:color w:val="000000"/>
          <w:sz w:val="22"/>
          <w:szCs w:val="22"/>
          <w:lang w:eastAsia="id-ID"/>
        </w:rPr>
        <w:t>, 2016).</w:t>
      </w:r>
    </w:p>
    <w:p w14:paraId="03E21607" w14:textId="1373B794" w:rsidR="00853B32" w:rsidRDefault="00853B32" w:rsidP="00B008E5">
      <w:pPr>
        <w:pStyle w:val="ListParagraph"/>
        <w:spacing w:line="276" w:lineRule="auto"/>
        <w:ind w:left="0" w:firstLine="720"/>
        <w:jc w:val="both"/>
        <w:rPr>
          <w:rFonts w:ascii="Arial Narrow" w:eastAsia="Times New Roman" w:hAnsi="Arial Narrow" w:cs="Arial"/>
          <w:color w:val="000000"/>
          <w:sz w:val="22"/>
          <w:szCs w:val="22"/>
          <w:lang w:eastAsia="id-ID"/>
        </w:rPr>
      </w:pPr>
      <w:r w:rsidRPr="00853B32">
        <w:rPr>
          <w:rFonts w:ascii="Arial Narrow" w:eastAsia="Times New Roman" w:hAnsi="Arial Narrow" w:cs="Arial"/>
          <w:color w:val="000000"/>
          <w:sz w:val="22"/>
          <w:szCs w:val="22"/>
          <w:lang w:eastAsia="id-ID"/>
        </w:rPr>
        <w:t xml:space="preserve">Prematurity, </w:t>
      </w:r>
      <w:proofErr w:type="spellStart"/>
      <w:r w:rsidRPr="00853B32">
        <w:rPr>
          <w:rFonts w:ascii="Arial Narrow" w:eastAsia="Times New Roman" w:hAnsi="Arial Narrow" w:cs="Arial"/>
          <w:color w:val="000000"/>
          <w:sz w:val="22"/>
          <w:szCs w:val="22"/>
          <w:lang w:eastAsia="id-ID"/>
        </w:rPr>
        <w:t>fetal</w:t>
      </w:r>
      <w:proofErr w:type="spellEnd"/>
      <w:r w:rsidRPr="00853B32">
        <w:rPr>
          <w:rFonts w:ascii="Arial Narrow" w:eastAsia="Times New Roman" w:hAnsi="Arial Narrow" w:cs="Arial"/>
          <w:color w:val="000000"/>
          <w:sz w:val="22"/>
          <w:szCs w:val="22"/>
          <w:lang w:eastAsia="id-ID"/>
        </w:rPr>
        <w:t xml:space="preserve"> distress, premature rupture of membranes (KPD), and other events that increase bilirubin levels are some of the reasons why SC delivery is performed and how it can affect immunity, abnormalities, and the development of body organs in babies (Pratiwi &amp; </w:t>
      </w:r>
      <w:proofErr w:type="spellStart"/>
      <w:r w:rsidRPr="00853B32">
        <w:rPr>
          <w:rFonts w:ascii="Arial Narrow" w:eastAsia="Times New Roman" w:hAnsi="Arial Narrow" w:cs="Arial"/>
          <w:color w:val="000000"/>
          <w:sz w:val="22"/>
          <w:szCs w:val="22"/>
          <w:lang w:eastAsia="id-ID"/>
        </w:rPr>
        <w:t>Kusumaningtiar</w:t>
      </w:r>
      <w:proofErr w:type="spellEnd"/>
      <w:r w:rsidRPr="00853B32">
        <w:rPr>
          <w:rFonts w:ascii="Arial Narrow" w:eastAsia="Times New Roman" w:hAnsi="Arial Narrow" w:cs="Arial"/>
          <w:color w:val="000000"/>
          <w:sz w:val="22"/>
          <w:szCs w:val="22"/>
          <w:lang w:eastAsia="id-ID"/>
        </w:rPr>
        <w:t>, 2021). Babies born using this method may not cry immediately, and this delay in crying causes hemodynamic irregularities that can lead to respiratory depression, whole-body hypoxia, and respiratory/metabolic acidosis, all of which can affect bilirubin metabolism (Faiqah, 2014</w:t>
      </w:r>
      <w:proofErr w:type="gramStart"/>
      <w:r w:rsidRPr="00853B32">
        <w:rPr>
          <w:rFonts w:ascii="Arial Narrow" w:eastAsia="Times New Roman" w:hAnsi="Arial Narrow" w:cs="Arial"/>
          <w:color w:val="000000"/>
          <w:sz w:val="22"/>
          <w:szCs w:val="22"/>
          <w:lang w:eastAsia="id-ID"/>
        </w:rPr>
        <w:t>).Research</w:t>
      </w:r>
      <w:proofErr w:type="gramEnd"/>
      <w:r w:rsidRPr="00853B32">
        <w:rPr>
          <w:rFonts w:ascii="Arial Narrow" w:eastAsia="Times New Roman" w:hAnsi="Arial Narrow" w:cs="Arial"/>
          <w:color w:val="000000"/>
          <w:sz w:val="22"/>
          <w:szCs w:val="22"/>
          <w:lang w:eastAsia="id-ID"/>
        </w:rPr>
        <w:t xml:space="preserve"> by Roselina et al., (2016) revealed that 43% of neonates who were delivered by vacuum experienced hyperbilirubinemia (11 out of 32 deliveries)</w:t>
      </w:r>
    </w:p>
    <w:p w14:paraId="22CCA731" w14:textId="77777777" w:rsidR="00B008E5" w:rsidRDefault="00B008E5" w:rsidP="00B008E5">
      <w:pPr>
        <w:pStyle w:val="ListParagraph"/>
        <w:spacing w:line="276" w:lineRule="auto"/>
        <w:ind w:left="0"/>
        <w:jc w:val="both"/>
        <w:rPr>
          <w:rFonts w:ascii="Arial Narrow" w:hAnsi="Arial Narrow" w:cs="Arial"/>
          <w:sz w:val="22"/>
          <w:szCs w:val="22"/>
        </w:rPr>
      </w:pPr>
    </w:p>
    <w:p w14:paraId="0DEFD3F4" w14:textId="3E61969B" w:rsidR="00B008E5" w:rsidRDefault="00B008E5" w:rsidP="00B008E5">
      <w:pPr>
        <w:pStyle w:val="ListParagraph"/>
        <w:spacing w:line="276" w:lineRule="auto"/>
        <w:ind w:left="0"/>
        <w:jc w:val="both"/>
        <w:rPr>
          <w:rFonts w:ascii="Arial Narrow" w:hAnsi="Arial Narrow" w:cs="Arial"/>
          <w:sz w:val="22"/>
          <w:szCs w:val="22"/>
        </w:rPr>
      </w:pPr>
      <w:r>
        <w:rPr>
          <w:rFonts w:ascii="Arial Narrow" w:hAnsi="Arial Narrow"/>
          <w:b/>
          <w:bCs/>
          <w:color w:val="000000"/>
          <w:sz w:val="22"/>
          <w:szCs w:val="22"/>
        </w:rPr>
        <w:t>RESEARCH METHODS</w:t>
      </w:r>
    </w:p>
    <w:p w14:paraId="6F828734" w14:textId="77777777" w:rsidR="00B008E5" w:rsidRPr="00B008E5" w:rsidRDefault="00B008E5" w:rsidP="004524F5">
      <w:pPr>
        <w:pStyle w:val="ListParagraph"/>
        <w:spacing w:line="276" w:lineRule="auto"/>
        <w:ind w:left="0" w:firstLine="720"/>
        <w:jc w:val="both"/>
        <w:rPr>
          <w:rFonts w:ascii="Arial Narrow" w:hAnsi="Arial Narrow" w:cs="Arial"/>
          <w:sz w:val="22"/>
          <w:szCs w:val="22"/>
          <w:lang w:val="en-US" w:eastAsia="x-none"/>
        </w:rPr>
      </w:pPr>
      <w:r w:rsidRPr="00B008E5">
        <w:rPr>
          <w:rFonts w:ascii="Arial Narrow" w:hAnsi="Arial Narrow" w:cs="Arial"/>
          <w:sz w:val="22"/>
          <w:szCs w:val="22"/>
          <w:lang w:val="en-US" w:eastAsia="x-none"/>
        </w:rPr>
        <w:t xml:space="preserve">This type of research is quantitative research. The method used in this research is an analytical survey method with a retrospective approach. The location of this research was carried out at RSIA Bunda Arif </w:t>
      </w:r>
      <w:proofErr w:type="spellStart"/>
      <w:r w:rsidRPr="00B008E5">
        <w:rPr>
          <w:rFonts w:ascii="Arial Narrow" w:hAnsi="Arial Narrow" w:cs="Arial"/>
          <w:sz w:val="22"/>
          <w:szCs w:val="22"/>
          <w:lang w:val="en-US" w:eastAsia="x-none"/>
        </w:rPr>
        <w:t>Purwokerto</w:t>
      </w:r>
      <w:proofErr w:type="spellEnd"/>
      <w:r w:rsidRPr="00B008E5">
        <w:rPr>
          <w:rFonts w:ascii="Arial Narrow" w:hAnsi="Arial Narrow" w:cs="Arial"/>
          <w:sz w:val="22"/>
          <w:szCs w:val="22"/>
          <w:lang w:val="en-US" w:eastAsia="x-none"/>
        </w:rPr>
        <w:t xml:space="preserve"> according to the timeline by conducting an initial survey, literature search, preparation of proposals, proposal seminars, research, data analysis and preparation of the final report.</w:t>
      </w:r>
    </w:p>
    <w:p w14:paraId="3569554D" w14:textId="77777777" w:rsidR="004524F5" w:rsidRDefault="00B008E5" w:rsidP="004524F5">
      <w:pPr>
        <w:pStyle w:val="ListParagraph"/>
        <w:spacing w:line="276" w:lineRule="auto"/>
        <w:ind w:left="0" w:firstLine="720"/>
        <w:jc w:val="both"/>
        <w:rPr>
          <w:rFonts w:ascii="Arial Narrow" w:hAnsi="Arial Narrow" w:cs="Arial"/>
          <w:sz w:val="22"/>
          <w:szCs w:val="22"/>
          <w:lang w:val="en-US" w:eastAsia="x-none"/>
        </w:rPr>
      </w:pPr>
      <w:r w:rsidRPr="00B008E5">
        <w:rPr>
          <w:rFonts w:ascii="Arial Narrow" w:hAnsi="Arial Narrow" w:cs="Arial"/>
          <w:sz w:val="22"/>
          <w:szCs w:val="22"/>
          <w:lang w:val="en-US" w:eastAsia="x-none"/>
        </w:rPr>
        <w:t>The population in this study were 186 newborns with hyperbilirubinemia. The sample in this study was 89 newborns with hyperbilirubinemia. All samples were taken from RSIA Bunda Arif's medical record data for 2021. The sampling technique was purposive sampling. The instrument in this research uses a checklist sheet.</w:t>
      </w:r>
      <w:r w:rsidR="004524F5">
        <w:rPr>
          <w:rFonts w:ascii="Arial Narrow" w:hAnsi="Arial Narrow" w:cs="Arial"/>
          <w:sz w:val="22"/>
          <w:szCs w:val="22"/>
          <w:lang w:val="en-US" w:eastAsia="x-none"/>
        </w:rPr>
        <w:t xml:space="preserve"> </w:t>
      </w:r>
      <w:r w:rsidRPr="00B008E5">
        <w:rPr>
          <w:rFonts w:ascii="Arial Narrow" w:hAnsi="Arial Narrow" w:cs="Arial"/>
          <w:sz w:val="22"/>
          <w:szCs w:val="22"/>
          <w:lang w:val="en-US" w:eastAsia="x-none"/>
        </w:rPr>
        <w:t>The analysis used in this research used the lambda correlation test and chi square test.</w:t>
      </w:r>
      <w:r w:rsidR="004524F5">
        <w:rPr>
          <w:rFonts w:ascii="Arial Narrow" w:hAnsi="Arial Narrow" w:cs="Arial"/>
          <w:sz w:val="22"/>
          <w:szCs w:val="22"/>
          <w:lang w:val="en-US" w:eastAsia="x-none"/>
        </w:rPr>
        <w:t xml:space="preserve"> </w:t>
      </w:r>
    </w:p>
    <w:p w14:paraId="2E34DEED" w14:textId="77777777" w:rsidR="004524F5" w:rsidRDefault="004524F5" w:rsidP="004524F5">
      <w:pPr>
        <w:spacing w:line="276" w:lineRule="auto"/>
        <w:contextualSpacing/>
        <w:jc w:val="both"/>
        <w:rPr>
          <w:rFonts w:ascii="Arial Narrow" w:hAnsi="Arial Narrow" w:cs="Arial"/>
          <w:b/>
        </w:rPr>
      </w:pPr>
    </w:p>
    <w:p w14:paraId="60B47747" w14:textId="358A13F2" w:rsidR="004524F5" w:rsidRDefault="004524F5" w:rsidP="004524F5">
      <w:pPr>
        <w:spacing w:line="276" w:lineRule="auto"/>
        <w:contextualSpacing/>
        <w:jc w:val="both"/>
        <w:rPr>
          <w:rFonts w:ascii="Arial Narrow" w:hAnsi="Arial Narrow"/>
          <w:b/>
          <w:bCs/>
          <w:color w:val="000000"/>
        </w:rPr>
      </w:pPr>
      <w:r>
        <w:rPr>
          <w:rFonts w:ascii="Arial Narrow" w:hAnsi="Arial Narrow"/>
          <w:b/>
          <w:bCs/>
          <w:color w:val="000000"/>
        </w:rPr>
        <w:t>RESEARCH RESULT</w:t>
      </w:r>
    </w:p>
    <w:p w14:paraId="0D6AEC08" w14:textId="222082E6" w:rsidR="008D6EB7" w:rsidRPr="00417AA4" w:rsidRDefault="008D6EB7" w:rsidP="00417AA4">
      <w:pPr>
        <w:pStyle w:val="ListParagraph"/>
        <w:numPr>
          <w:ilvl w:val="0"/>
          <w:numId w:val="13"/>
        </w:numPr>
        <w:spacing w:line="276" w:lineRule="auto"/>
        <w:contextualSpacing/>
        <w:jc w:val="both"/>
        <w:rPr>
          <w:rFonts w:ascii="Arial Narrow" w:hAnsi="Arial Narrow" w:cs="Arial"/>
          <w:bCs/>
        </w:rPr>
      </w:pPr>
      <w:r w:rsidRPr="00417AA4">
        <w:rPr>
          <w:rFonts w:ascii="Arial Narrow" w:hAnsi="Arial Narrow" w:cs="Arial"/>
          <w:bCs/>
        </w:rPr>
        <w:t xml:space="preserve">Types of delivery for newborns at RSIA Bunda Arif </w:t>
      </w:r>
      <w:proofErr w:type="spellStart"/>
      <w:r w:rsidRPr="00417AA4">
        <w:rPr>
          <w:rFonts w:ascii="Arial Narrow" w:hAnsi="Arial Narrow" w:cs="Arial"/>
          <w:bCs/>
        </w:rPr>
        <w:t>Purwokerto</w:t>
      </w:r>
      <w:proofErr w:type="spellEnd"/>
    </w:p>
    <w:p w14:paraId="3220A5D1" w14:textId="7942A96E" w:rsidR="004524F5" w:rsidRPr="004524F5" w:rsidRDefault="004524F5" w:rsidP="004524F5">
      <w:pPr>
        <w:spacing w:line="276" w:lineRule="auto"/>
        <w:contextualSpacing/>
        <w:jc w:val="center"/>
        <w:rPr>
          <w:rFonts w:ascii="Arial Narrow" w:hAnsi="Arial Narrow" w:cs="Arial"/>
          <w:b/>
        </w:rPr>
      </w:pPr>
      <w:r w:rsidRPr="004524F5">
        <w:rPr>
          <w:rFonts w:ascii="Arial Narrow" w:hAnsi="Arial Narrow" w:cs="Arial"/>
          <w:b/>
        </w:rPr>
        <w:t>Table 1</w:t>
      </w:r>
    </w:p>
    <w:p w14:paraId="296DF8AA" w14:textId="298611AD" w:rsidR="004524F5" w:rsidRDefault="004524F5" w:rsidP="004524F5">
      <w:pPr>
        <w:spacing w:line="276" w:lineRule="auto"/>
        <w:contextualSpacing/>
        <w:jc w:val="center"/>
        <w:rPr>
          <w:rFonts w:ascii="Arial Narrow" w:hAnsi="Arial Narrow" w:cs="Arial"/>
          <w:b/>
        </w:rPr>
      </w:pPr>
      <w:r w:rsidRPr="004524F5">
        <w:rPr>
          <w:rFonts w:ascii="Arial Narrow" w:hAnsi="Arial Narrow" w:cs="Arial"/>
          <w:b/>
        </w:rPr>
        <w:t xml:space="preserve">Types of Delivery in Newborn Babies at RSIA Bunda Arif </w:t>
      </w:r>
      <w:proofErr w:type="spellStart"/>
      <w:r w:rsidRPr="004524F5">
        <w:rPr>
          <w:rFonts w:ascii="Arial Narrow" w:hAnsi="Arial Narrow" w:cs="Arial"/>
          <w:b/>
        </w:rPr>
        <w:t>Purwokerto</w:t>
      </w:r>
      <w:proofErr w:type="spellEnd"/>
    </w:p>
    <w:p w14:paraId="198BE74A" w14:textId="77777777" w:rsidR="004524F5" w:rsidRDefault="004524F5" w:rsidP="00B008E5">
      <w:pPr>
        <w:spacing w:line="276" w:lineRule="auto"/>
        <w:ind w:left="360"/>
        <w:contextualSpacing/>
        <w:jc w:val="both"/>
        <w:rPr>
          <w:rFonts w:ascii="Arial Narrow" w:hAnsi="Arial Narrow" w:cs="Arial"/>
          <w:b/>
        </w:rPr>
      </w:pP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4760"/>
        <w:gridCol w:w="1870"/>
        <w:gridCol w:w="2208"/>
      </w:tblGrid>
      <w:tr w:rsidR="0022401B" w:rsidRPr="0022401B" w14:paraId="4C40B250" w14:textId="77777777" w:rsidTr="004524F5">
        <w:tc>
          <w:tcPr>
            <w:tcW w:w="2693" w:type="pct"/>
            <w:tcBorders>
              <w:top w:val="single" w:sz="4" w:space="0" w:color="000000"/>
              <w:bottom w:val="single" w:sz="4" w:space="0" w:color="auto"/>
            </w:tcBorders>
          </w:tcPr>
          <w:p w14:paraId="6C7041E3" w14:textId="4C5BA188" w:rsidR="0022401B" w:rsidRPr="0022401B" w:rsidRDefault="004524F5" w:rsidP="00610B7B">
            <w:pPr>
              <w:contextualSpacing/>
              <w:jc w:val="center"/>
              <w:rPr>
                <w:rFonts w:ascii="Arial Narrow" w:hAnsi="Arial Narrow" w:cs="Arial"/>
                <w:b/>
                <w:lang w:eastAsia="x-none"/>
              </w:rPr>
            </w:pPr>
            <w:r w:rsidRPr="004524F5">
              <w:rPr>
                <w:rFonts w:ascii="Arial Narrow" w:hAnsi="Arial Narrow" w:cs="Arial"/>
                <w:b/>
              </w:rPr>
              <w:t xml:space="preserve">Type of Delivery </w:t>
            </w:r>
          </w:p>
        </w:tc>
        <w:tc>
          <w:tcPr>
            <w:tcW w:w="1058" w:type="pct"/>
            <w:tcBorders>
              <w:top w:val="single" w:sz="4" w:space="0" w:color="000000"/>
              <w:bottom w:val="single" w:sz="4" w:space="0" w:color="auto"/>
            </w:tcBorders>
          </w:tcPr>
          <w:p w14:paraId="299C972E" w14:textId="7250C56E" w:rsidR="0022401B" w:rsidRPr="0022401B" w:rsidRDefault="004524F5" w:rsidP="00610B7B">
            <w:pPr>
              <w:contextualSpacing/>
              <w:jc w:val="center"/>
              <w:rPr>
                <w:rFonts w:ascii="Arial Narrow" w:hAnsi="Arial Narrow" w:cs="Arial"/>
                <w:b/>
              </w:rPr>
            </w:pPr>
            <w:r w:rsidRPr="004524F5">
              <w:rPr>
                <w:rFonts w:ascii="Arial Narrow" w:hAnsi="Arial Narrow" w:cs="Arial"/>
                <w:b/>
              </w:rPr>
              <w:t>Frequency (f)</w:t>
            </w:r>
          </w:p>
        </w:tc>
        <w:tc>
          <w:tcPr>
            <w:tcW w:w="1249" w:type="pct"/>
            <w:tcBorders>
              <w:top w:val="single" w:sz="4" w:space="0" w:color="000000"/>
              <w:bottom w:val="single" w:sz="4" w:space="0" w:color="auto"/>
            </w:tcBorders>
          </w:tcPr>
          <w:p w14:paraId="776080F8" w14:textId="21369980" w:rsidR="0022401B" w:rsidRPr="0022401B" w:rsidRDefault="004524F5" w:rsidP="00610B7B">
            <w:pPr>
              <w:contextualSpacing/>
              <w:jc w:val="center"/>
              <w:rPr>
                <w:rFonts w:ascii="Arial Narrow" w:hAnsi="Arial Narrow" w:cs="Arial"/>
                <w:b/>
              </w:rPr>
            </w:pPr>
            <w:r w:rsidRPr="004524F5">
              <w:rPr>
                <w:rFonts w:ascii="Arial Narrow" w:hAnsi="Arial Narrow" w:cs="Arial"/>
                <w:b/>
              </w:rPr>
              <w:t>Percentage (%)</w:t>
            </w:r>
          </w:p>
        </w:tc>
      </w:tr>
      <w:tr w:rsidR="0022401B" w:rsidRPr="0022401B" w14:paraId="6946F147" w14:textId="77777777" w:rsidTr="004524F5">
        <w:tblPrEx>
          <w:tblBorders>
            <w:insideH w:val="single" w:sz="4" w:space="0" w:color="auto"/>
            <w:insideV w:val="single" w:sz="4" w:space="0" w:color="auto"/>
          </w:tblBorders>
        </w:tblPrEx>
        <w:tc>
          <w:tcPr>
            <w:tcW w:w="2693" w:type="pct"/>
            <w:tcBorders>
              <w:top w:val="single" w:sz="4" w:space="0" w:color="auto"/>
              <w:bottom w:val="single" w:sz="4" w:space="0" w:color="auto"/>
              <w:right w:val="nil"/>
            </w:tcBorders>
          </w:tcPr>
          <w:p w14:paraId="001D6B46" w14:textId="77777777" w:rsidR="004524F5" w:rsidRPr="004524F5" w:rsidRDefault="004524F5" w:rsidP="004524F5">
            <w:pPr>
              <w:spacing w:after="0" w:line="240" w:lineRule="auto"/>
              <w:ind w:left="340"/>
              <w:contextualSpacing/>
              <w:jc w:val="both"/>
              <w:rPr>
                <w:rFonts w:ascii="Arial Narrow" w:hAnsi="Arial Narrow" w:cs="Arial"/>
                <w:bCs/>
              </w:rPr>
            </w:pPr>
            <w:r w:rsidRPr="004524F5">
              <w:rPr>
                <w:rFonts w:ascii="Arial Narrow" w:hAnsi="Arial Narrow" w:cs="Arial"/>
              </w:rPr>
              <w:t>Pathological Labor</w:t>
            </w:r>
          </w:p>
          <w:p w14:paraId="147C6097" w14:textId="68DCF7DB" w:rsidR="0022401B" w:rsidRPr="0022401B" w:rsidRDefault="0022401B" w:rsidP="0022401B">
            <w:pPr>
              <w:numPr>
                <w:ilvl w:val="1"/>
                <w:numId w:val="5"/>
              </w:numPr>
              <w:spacing w:after="0" w:line="240" w:lineRule="auto"/>
              <w:ind w:left="601" w:hanging="283"/>
              <w:contextualSpacing/>
              <w:jc w:val="both"/>
              <w:rPr>
                <w:rFonts w:ascii="Arial Narrow" w:hAnsi="Arial Narrow" w:cs="Arial"/>
                <w:bCs/>
              </w:rPr>
            </w:pPr>
            <w:proofErr w:type="spellStart"/>
            <w:r w:rsidRPr="0022401B">
              <w:rPr>
                <w:rFonts w:ascii="Arial Narrow" w:hAnsi="Arial Narrow" w:cs="Arial"/>
                <w:bCs/>
              </w:rPr>
              <w:t>Vacum</w:t>
            </w:r>
            <w:proofErr w:type="spellEnd"/>
            <w:r w:rsidRPr="0022401B">
              <w:rPr>
                <w:rFonts w:ascii="Arial Narrow" w:hAnsi="Arial Narrow" w:cs="Arial"/>
                <w:bCs/>
              </w:rPr>
              <w:t xml:space="preserve"> </w:t>
            </w:r>
            <w:proofErr w:type="spellStart"/>
            <w:r w:rsidRPr="0022401B">
              <w:rPr>
                <w:rFonts w:ascii="Arial Narrow" w:hAnsi="Arial Narrow" w:cs="Arial"/>
                <w:bCs/>
              </w:rPr>
              <w:t>Ekstrasi</w:t>
            </w:r>
            <w:proofErr w:type="spellEnd"/>
            <w:r w:rsidRPr="0022401B">
              <w:rPr>
                <w:rFonts w:ascii="Arial Narrow" w:hAnsi="Arial Narrow" w:cs="Arial"/>
                <w:bCs/>
              </w:rPr>
              <w:t xml:space="preserve"> (VE)</w:t>
            </w:r>
          </w:p>
          <w:p w14:paraId="02924891" w14:textId="77777777" w:rsidR="0022401B" w:rsidRPr="0022401B" w:rsidRDefault="0022401B" w:rsidP="0022401B">
            <w:pPr>
              <w:numPr>
                <w:ilvl w:val="1"/>
                <w:numId w:val="5"/>
              </w:numPr>
              <w:spacing w:after="0" w:line="240" w:lineRule="auto"/>
              <w:ind w:left="601" w:hanging="283"/>
              <w:contextualSpacing/>
              <w:jc w:val="both"/>
              <w:rPr>
                <w:rFonts w:ascii="Arial Narrow" w:hAnsi="Arial Narrow" w:cs="Arial"/>
                <w:bCs/>
              </w:rPr>
            </w:pPr>
            <w:r w:rsidRPr="0022401B">
              <w:rPr>
                <w:rFonts w:ascii="Arial Narrow" w:hAnsi="Arial Narrow" w:cs="Arial"/>
                <w:bCs/>
              </w:rPr>
              <w:t>Sectio Caesarea (SC)</w:t>
            </w:r>
          </w:p>
          <w:p w14:paraId="40F68FA2" w14:textId="77777777" w:rsidR="0022401B" w:rsidRPr="0022401B" w:rsidRDefault="0022401B" w:rsidP="0022401B">
            <w:pPr>
              <w:numPr>
                <w:ilvl w:val="1"/>
                <w:numId w:val="5"/>
              </w:numPr>
              <w:spacing w:after="0" w:line="240" w:lineRule="auto"/>
              <w:ind w:left="601" w:hanging="283"/>
              <w:contextualSpacing/>
              <w:jc w:val="both"/>
              <w:rPr>
                <w:rFonts w:ascii="Arial Narrow" w:hAnsi="Arial Narrow" w:cs="Arial"/>
              </w:rPr>
            </w:pPr>
            <w:r w:rsidRPr="0022401B">
              <w:rPr>
                <w:rFonts w:ascii="Arial Narrow" w:hAnsi="Arial Narrow" w:cs="Arial"/>
                <w:bCs/>
              </w:rPr>
              <w:t>Forceps</w:t>
            </w:r>
          </w:p>
          <w:p w14:paraId="4DF11318" w14:textId="249C1AC7" w:rsidR="0022401B" w:rsidRPr="0022401B" w:rsidRDefault="004524F5" w:rsidP="00610B7B">
            <w:pPr>
              <w:ind w:left="318"/>
              <w:contextualSpacing/>
              <w:jc w:val="both"/>
              <w:rPr>
                <w:rFonts w:ascii="Arial Narrow" w:hAnsi="Arial Narrow" w:cs="Arial"/>
              </w:rPr>
            </w:pPr>
            <w:r w:rsidRPr="004524F5">
              <w:rPr>
                <w:rFonts w:ascii="Arial Narrow" w:hAnsi="Arial Narrow" w:cs="Arial"/>
              </w:rPr>
              <w:t>Normal Delivery</w:t>
            </w:r>
          </w:p>
        </w:tc>
        <w:tc>
          <w:tcPr>
            <w:tcW w:w="1058" w:type="pct"/>
            <w:tcBorders>
              <w:top w:val="single" w:sz="4" w:space="0" w:color="auto"/>
              <w:left w:val="nil"/>
              <w:bottom w:val="single" w:sz="4" w:space="0" w:color="auto"/>
              <w:right w:val="nil"/>
            </w:tcBorders>
          </w:tcPr>
          <w:p w14:paraId="34765703"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47</w:t>
            </w:r>
          </w:p>
          <w:p w14:paraId="3AF4D905" w14:textId="77777777" w:rsidR="0022401B" w:rsidRPr="0022401B" w:rsidRDefault="0022401B" w:rsidP="00610B7B">
            <w:pPr>
              <w:contextualSpacing/>
              <w:jc w:val="center"/>
              <w:rPr>
                <w:rFonts w:ascii="Arial Narrow" w:hAnsi="Arial Narrow" w:cs="Arial"/>
                <w:bCs/>
              </w:rPr>
            </w:pPr>
            <w:r w:rsidRPr="0022401B">
              <w:rPr>
                <w:rFonts w:ascii="Arial Narrow" w:hAnsi="Arial Narrow" w:cs="Arial"/>
                <w:bCs/>
              </w:rPr>
              <w:t>1</w:t>
            </w:r>
          </w:p>
          <w:p w14:paraId="5E3660DE" w14:textId="77777777" w:rsidR="0022401B" w:rsidRPr="0022401B" w:rsidRDefault="0022401B" w:rsidP="00610B7B">
            <w:pPr>
              <w:contextualSpacing/>
              <w:jc w:val="center"/>
              <w:rPr>
                <w:rFonts w:ascii="Arial Narrow" w:hAnsi="Arial Narrow" w:cs="Arial"/>
                <w:bCs/>
              </w:rPr>
            </w:pPr>
            <w:r w:rsidRPr="0022401B">
              <w:rPr>
                <w:rFonts w:ascii="Arial Narrow" w:hAnsi="Arial Narrow" w:cs="Arial"/>
                <w:bCs/>
              </w:rPr>
              <w:t>46</w:t>
            </w:r>
          </w:p>
          <w:p w14:paraId="672F0C7F" w14:textId="77777777" w:rsidR="0022401B" w:rsidRPr="0022401B" w:rsidRDefault="0022401B" w:rsidP="00610B7B">
            <w:pPr>
              <w:contextualSpacing/>
              <w:jc w:val="center"/>
              <w:rPr>
                <w:rFonts w:ascii="Arial Narrow" w:hAnsi="Arial Narrow" w:cs="Arial"/>
              </w:rPr>
            </w:pPr>
            <w:r w:rsidRPr="0022401B">
              <w:rPr>
                <w:rFonts w:ascii="Arial Narrow" w:hAnsi="Arial Narrow" w:cs="Arial"/>
                <w:bCs/>
              </w:rPr>
              <w:t>0</w:t>
            </w:r>
          </w:p>
          <w:p w14:paraId="12FF5AE7"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42</w:t>
            </w:r>
          </w:p>
        </w:tc>
        <w:tc>
          <w:tcPr>
            <w:tcW w:w="1249" w:type="pct"/>
            <w:tcBorders>
              <w:top w:val="single" w:sz="4" w:space="0" w:color="auto"/>
              <w:left w:val="nil"/>
              <w:bottom w:val="single" w:sz="4" w:space="0" w:color="auto"/>
            </w:tcBorders>
          </w:tcPr>
          <w:p w14:paraId="694EFF92"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52.8</w:t>
            </w:r>
          </w:p>
          <w:p w14:paraId="16AF71F6" w14:textId="77777777" w:rsidR="0022401B" w:rsidRPr="0022401B" w:rsidRDefault="0022401B" w:rsidP="00610B7B">
            <w:pPr>
              <w:contextualSpacing/>
              <w:jc w:val="center"/>
              <w:rPr>
                <w:rFonts w:ascii="Arial Narrow" w:hAnsi="Arial Narrow" w:cs="Arial"/>
                <w:bCs/>
              </w:rPr>
            </w:pPr>
            <w:r w:rsidRPr="0022401B">
              <w:rPr>
                <w:rFonts w:ascii="Arial Narrow" w:hAnsi="Arial Narrow" w:cs="Arial"/>
                <w:bCs/>
              </w:rPr>
              <w:t>1.1</w:t>
            </w:r>
          </w:p>
          <w:p w14:paraId="63B3AFC0" w14:textId="77777777" w:rsidR="0022401B" w:rsidRPr="0022401B" w:rsidRDefault="0022401B" w:rsidP="00610B7B">
            <w:pPr>
              <w:contextualSpacing/>
              <w:jc w:val="center"/>
              <w:rPr>
                <w:rFonts w:ascii="Arial Narrow" w:hAnsi="Arial Narrow" w:cs="Arial"/>
                <w:bCs/>
              </w:rPr>
            </w:pPr>
            <w:r w:rsidRPr="0022401B">
              <w:rPr>
                <w:rFonts w:ascii="Arial Narrow" w:hAnsi="Arial Narrow" w:cs="Arial"/>
                <w:bCs/>
              </w:rPr>
              <w:t>51.7</w:t>
            </w:r>
          </w:p>
          <w:p w14:paraId="7F6A3A3A" w14:textId="77777777" w:rsidR="0022401B" w:rsidRPr="0022401B" w:rsidRDefault="0022401B" w:rsidP="00610B7B">
            <w:pPr>
              <w:contextualSpacing/>
              <w:jc w:val="center"/>
              <w:rPr>
                <w:rFonts w:ascii="Arial Narrow" w:hAnsi="Arial Narrow" w:cs="Arial"/>
                <w:bCs/>
              </w:rPr>
            </w:pPr>
            <w:r w:rsidRPr="0022401B">
              <w:rPr>
                <w:rFonts w:ascii="Arial Narrow" w:hAnsi="Arial Narrow" w:cs="Arial"/>
                <w:bCs/>
              </w:rPr>
              <w:t>0</w:t>
            </w:r>
          </w:p>
          <w:p w14:paraId="2948CF56"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47.2</w:t>
            </w:r>
          </w:p>
        </w:tc>
      </w:tr>
      <w:tr w:rsidR="0022401B" w:rsidRPr="0022401B" w14:paraId="0D0438C0" w14:textId="77777777" w:rsidTr="004524F5">
        <w:tblPrEx>
          <w:tblBorders>
            <w:insideH w:val="single" w:sz="4" w:space="0" w:color="auto"/>
            <w:insideV w:val="single" w:sz="4" w:space="0" w:color="auto"/>
          </w:tblBorders>
        </w:tblPrEx>
        <w:tc>
          <w:tcPr>
            <w:tcW w:w="2693" w:type="pct"/>
            <w:tcBorders>
              <w:top w:val="single" w:sz="4" w:space="0" w:color="auto"/>
              <w:bottom w:val="single" w:sz="4" w:space="0" w:color="auto"/>
              <w:right w:val="nil"/>
            </w:tcBorders>
          </w:tcPr>
          <w:p w14:paraId="61A3253B" w14:textId="77777777" w:rsidR="0022401B" w:rsidRPr="0022401B" w:rsidRDefault="0022401B" w:rsidP="00610B7B">
            <w:pPr>
              <w:spacing w:line="276" w:lineRule="auto"/>
              <w:contextualSpacing/>
              <w:jc w:val="center"/>
              <w:rPr>
                <w:rFonts w:ascii="Arial Narrow" w:hAnsi="Arial Narrow" w:cs="Arial"/>
              </w:rPr>
            </w:pPr>
            <w:r w:rsidRPr="0022401B">
              <w:rPr>
                <w:rFonts w:ascii="Arial Narrow" w:hAnsi="Arial Narrow" w:cs="Arial"/>
              </w:rPr>
              <w:t>Total</w:t>
            </w:r>
          </w:p>
        </w:tc>
        <w:tc>
          <w:tcPr>
            <w:tcW w:w="1058" w:type="pct"/>
            <w:tcBorders>
              <w:top w:val="single" w:sz="4" w:space="0" w:color="auto"/>
              <w:left w:val="nil"/>
              <w:bottom w:val="single" w:sz="4" w:space="0" w:color="auto"/>
              <w:right w:val="nil"/>
            </w:tcBorders>
          </w:tcPr>
          <w:p w14:paraId="4AD82C9D" w14:textId="77777777" w:rsidR="0022401B" w:rsidRPr="0022401B" w:rsidRDefault="0022401B" w:rsidP="00610B7B">
            <w:pPr>
              <w:spacing w:line="276" w:lineRule="auto"/>
              <w:contextualSpacing/>
              <w:jc w:val="center"/>
              <w:rPr>
                <w:rFonts w:ascii="Arial Narrow" w:hAnsi="Arial Narrow" w:cs="Arial"/>
              </w:rPr>
            </w:pPr>
            <w:r w:rsidRPr="0022401B">
              <w:rPr>
                <w:rFonts w:ascii="Arial Narrow" w:hAnsi="Arial Narrow" w:cs="Arial"/>
              </w:rPr>
              <w:t>89</w:t>
            </w:r>
          </w:p>
        </w:tc>
        <w:tc>
          <w:tcPr>
            <w:tcW w:w="1249" w:type="pct"/>
            <w:tcBorders>
              <w:top w:val="single" w:sz="4" w:space="0" w:color="auto"/>
              <w:left w:val="nil"/>
              <w:bottom w:val="single" w:sz="4" w:space="0" w:color="auto"/>
            </w:tcBorders>
          </w:tcPr>
          <w:p w14:paraId="62345741" w14:textId="77777777" w:rsidR="0022401B" w:rsidRPr="0022401B" w:rsidRDefault="0022401B" w:rsidP="00610B7B">
            <w:pPr>
              <w:spacing w:line="276" w:lineRule="auto"/>
              <w:contextualSpacing/>
              <w:jc w:val="center"/>
              <w:rPr>
                <w:rFonts w:ascii="Arial Narrow" w:hAnsi="Arial Narrow" w:cs="Arial"/>
              </w:rPr>
            </w:pPr>
            <w:r w:rsidRPr="0022401B">
              <w:rPr>
                <w:rFonts w:ascii="Arial Narrow" w:hAnsi="Arial Narrow" w:cs="Arial"/>
              </w:rPr>
              <w:t>100</w:t>
            </w:r>
          </w:p>
        </w:tc>
      </w:tr>
    </w:tbl>
    <w:p w14:paraId="7601D2F2" w14:textId="77777777" w:rsidR="0022401B" w:rsidRPr="0022401B" w:rsidRDefault="0022401B" w:rsidP="0022401B">
      <w:pPr>
        <w:spacing w:line="276" w:lineRule="auto"/>
        <w:ind w:left="567" w:firstLine="426"/>
        <w:contextualSpacing/>
        <w:jc w:val="both"/>
        <w:rPr>
          <w:rFonts w:ascii="Arial Narrow" w:hAnsi="Arial Narrow" w:cs="Arial"/>
          <w:lang w:val="x-none" w:eastAsia="x-none"/>
        </w:rPr>
      </w:pPr>
    </w:p>
    <w:p w14:paraId="795328F8" w14:textId="3DEAF195" w:rsidR="0022401B" w:rsidRDefault="008D6EB7" w:rsidP="0022401B">
      <w:pPr>
        <w:spacing w:before="240" w:line="276" w:lineRule="auto"/>
        <w:ind w:left="567" w:firstLine="567"/>
        <w:contextualSpacing/>
        <w:jc w:val="both"/>
        <w:rPr>
          <w:rFonts w:ascii="Arial Narrow" w:hAnsi="Arial Narrow" w:cs="Arial"/>
          <w:lang w:eastAsia="x-none"/>
        </w:rPr>
      </w:pPr>
      <w:r w:rsidRPr="008D6EB7">
        <w:rPr>
          <w:rFonts w:ascii="Arial Narrow" w:hAnsi="Arial Narrow" w:cs="Arial"/>
          <w:lang w:eastAsia="x-none"/>
        </w:rPr>
        <w:lastRenderedPageBreak/>
        <w:t>Table 1 shows that 47 respondents (52.8%) had pathological types of labor, including 1 respondent (1.1%) with VE, 46 respondents (51.1%) with SC and 0 respondents with forceps, while 42 respondents (47.2%) had normal types of labor)</w:t>
      </w:r>
    </w:p>
    <w:p w14:paraId="170D63BD" w14:textId="77777777" w:rsidR="00417AA4" w:rsidRPr="0022401B" w:rsidRDefault="00417AA4" w:rsidP="0022401B">
      <w:pPr>
        <w:spacing w:before="240" w:line="276" w:lineRule="auto"/>
        <w:ind w:left="567" w:firstLine="567"/>
        <w:contextualSpacing/>
        <w:jc w:val="both"/>
        <w:rPr>
          <w:rFonts w:ascii="Arial Narrow" w:hAnsi="Arial Narrow" w:cs="Arial"/>
        </w:rPr>
      </w:pPr>
    </w:p>
    <w:p w14:paraId="3830A4AF" w14:textId="63BBA64E" w:rsidR="008D6EB7" w:rsidRPr="00417AA4" w:rsidRDefault="00417AA4" w:rsidP="00417AA4">
      <w:pPr>
        <w:pStyle w:val="ListParagraph"/>
        <w:numPr>
          <w:ilvl w:val="0"/>
          <w:numId w:val="13"/>
        </w:numPr>
        <w:spacing w:line="276" w:lineRule="auto"/>
        <w:contextualSpacing/>
        <w:jc w:val="both"/>
        <w:rPr>
          <w:rFonts w:ascii="Arial Narrow" w:hAnsi="Arial Narrow" w:cs="Arial"/>
          <w:bCs/>
          <w:lang w:val="x-none" w:eastAsia="x-none"/>
        </w:rPr>
      </w:pPr>
      <w:r w:rsidRPr="00417AA4">
        <w:rPr>
          <w:rFonts w:ascii="Arial Narrow" w:hAnsi="Arial Narrow" w:cs="Arial"/>
          <w:bCs/>
          <w:lang w:val="x-none" w:eastAsia="x-none"/>
        </w:rPr>
        <w:t xml:space="preserve">The </w:t>
      </w:r>
      <w:r w:rsidRPr="00417AA4">
        <w:rPr>
          <w:rFonts w:ascii="Arial Narrow" w:hAnsi="Arial Narrow" w:cs="Arial"/>
          <w:bCs/>
        </w:rPr>
        <w:t>incidence</w:t>
      </w:r>
      <w:r w:rsidRPr="00417AA4">
        <w:rPr>
          <w:rFonts w:ascii="Arial Narrow" w:hAnsi="Arial Narrow" w:cs="Arial"/>
          <w:bCs/>
          <w:lang w:val="x-none" w:eastAsia="x-none"/>
        </w:rPr>
        <w:t xml:space="preserve"> of hyperbilirubinemia in newborns at RSIA Bunda Arif </w:t>
      </w:r>
      <w:proofErr w:type="spellStart"/>
      <w:r w:rsidRPr="00417AA4">
        <w:rPr>
          <w:rFonts w:ascii="Arial Narrow" w:hAnsi="Arial Narrow" w:cs="Arial"/>
          <w:bCs/>
          <w:lang w:val="x-none" w:eastAsia="x-none"/>
        </w:rPr>
        <w:t>Purwokerto</w:t>
      </w:r>
      <w:proofErr w:type="spellEnd"/>
    </w:p>
    <w:p w14:paraId="59E296BE" w14:textId="77777777" w:rsidR="00417AA4" w:rsidRPr="00417AA4" w:rsidRDefault="00417AA4" w:rsidP="00417AA4">
      <w:pPr>
        <w:spacing w:line="276" w:lineRule="auto"/>
        <w:ind w:left="1701" w:hanging="1134"/>
        <w:contextualSpacing/>
        <w:jc w:val="center"/>
        <w:rPr>
          <w:rFonts w:ascii="Arial Narrow" w:hAnsi="Arial Narrow" w:cs="Arial"/>
          <w:b/>
          <w:lang w:val="x-none" w:eastAsia="x-none"/>
        </w:rPr>
      </w:pPr>
      <w:r w:rsidRPr="00417AA4">
        <w:rPr>
          <w:rFonts w:ascii="Arial Narrow" w:hAnsi="Arial Narrow" w:cs="Arial"/>
          <w:b/>
          <w:lang w:val="x-none" w:eastAsia="x-none"/>
        </w:rPr>
        <w:t>Table 2</w:t>
      </w:r>
    </w:p>
    <w:p w14:paraId="2C9FB1FC" w14:textId="64BDD6B4" w:rsidR="0022401B" w:rsidRPr="0022401B" w:rsidRDefault="00417AA4" w:rsidP="00417AA4">
      <w:pPr>
        <w:spacing w:line="276" w:lineRule="auto"/>
        <w:ind w:left="1701" w:hanging="1134"/>
        <w:contextualSpacing/>
        <w:jc w:val="center"/>
        <w:rPr>
          <w:rFonts w:ascii="Arial Narrow" w:hAnsi="Arial Narrow" w:cs="Arial"/>
          <w:b/>
          <w:lang w:eastAsia="x-none"/>
        </w:rPr>
      </w:pPr>
      <w:r w:rsidRPr="00417AA4">
        <w:rPr>
          <w:rFonts w:ascii="Arial Narrow" w:hAnsi="Arial Narrow" w:cs="Arial"/>
          <w:b/>
          <w:lang w:val="x-none" w:eastAsia="x-none"/>
        </w:rPr>
        <w:t xml:space="preserve">Incidence of Hyperbilirubinemia in Newborns at RSIA Bunda Arif </w:t>
      </w:r>
      <w:proofErr w:type="spellStart"/>
      <w:r w:rsidRPr="00417AA4">
        <w:rPr>
          <w:rFonts w:ascii="Arial Narrow" w:hAnsi="Arial Narrow" w:cs="Arial"/>
          <w:b/>
          <w:lang w:val="x-none" w:eastAsia="x-none"/>
        </w:rPr>
        <w:t>Purwokerto</w:t>
      </w:r>
      <w:proofErr w:type="spellEnd"/>
    </w:p>
    <w:tbl>
      <w:tblPr>
        <w:tblW w:w="7425"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195"/>
        <w:gridCol w:w="2070"/>
        <w:gridCol w:w="2160"/>
      </w:tblGrid>
      <w:tr w:rsidR="0022401B" w:rsidRPr="0022401B" w14:paraId="58A7BD4D" w14:textId="77777777" w:rsidTr="00417AA4">
        <w:tc>
          <w:tcPr>
            <w:tcW w:w="3195" w:type="dxa"/>
            <w:tcBorders>
              <w:top w:val="single" w:sz="4" w:space="0" w:color="000000"/>
              <w:bottom w:val="single" w:sz="4" w:space="0" w:color="auto"/>
            </w:tcBorders>
          </w:tcPr>
          <w:p w14:paraId="057BC90C" w14:textId="2D2E1606" w:rsidR="0022401B" w:rsidRPr="0022401B" w:rsidRDefault="00417AA4" w:rsidP="00610B7B">
            <w:pPr>
              <w:contextualSpacing/>
              <w:jc w:val="center"/>
              <w:rPr>
                <w:rFonts w:ascii="Arial Narrow" w:hAnsi="Arial Narrow" w:cs="Arial"/>
                <w:b/>
                <w:lang w:eastAsia="x-none"/>
              </w:rPr>
            </w:pPr>
            <w:r w:rsidRPr="00417AA4">
              <w:rPr>
                <w:rFonts w:ascii="Arial Narrow" w:hAnsi="Arial Narrow" w:cs="Arial"/>
                <w:b/>
              </w:rPr>
              <w:t xml:space="preserve">Hyperbilirubinemia Occurrence </w:t>
            </w:r>
          </w:p>
        </w:tc>
        <w:tc>
          <w:tcPr>
            <w:tcW w:w="2070" w:type="dxa"/>
            <w:tcBorders>
              <w:top w:val="single" w:sz="4" w:space="0" w:color="000000"/>
              <w:bottom w:val="single" w:sz="4" w:space="0" w:color="auto"/>
            </w:tcBorders>
          </w:tcPr>
          <w:p w14:paraId="78DC832F" w14:textId="5407D5AB" w:rsidR="0022401B" w:rsidRPr="0022401B" w:rsidRDefault="00417AA4" w:rsidP="00610B7B">
            <w:pPr>
              <w:contextualSpacing/>
              <w:jc w:val="center"/>
              <w:rPr>
                <w:rFonts w:ascii="Arial Narrow" w:hAnsi="Arial Narrow" w:cs="Arial"/>
                <w:b/>
              </w:rPr>
            </w:pPr>
            <w:r w:rsidRPr="00417AA4">
              <w:rPr>
                <w:rFonts w:ascii="Arial Narrow" w:hAnsi="Arial Narrow" w:cs="Arial"/>
                <w:b/>
              </w:rPr>
              <w:t>Frequency (f)</w:t>
            </w:r>
          </w:p>
        </w:tc>
        <w:tc>
          <w:tcPr>
            <w:tcW w:w="2160" w:type="dxa"/>
            <w:tcBorders>
              <w:top w:val="single" w:sz="4" w:space="0" w:color="000000"/>
              <w:bottom w:val="single" w:sz="4" w:space="0" w:color="auto"/>
            </w:tcBorders>
          </w:tcPr>
          <w:p w14:paraId="3EA19A42" w14:textId="613C0B88" w:rsidR="0022401B" w:rsidRPr="0022401B" w:rsidRDefault="00417AA4" w:rsidP="00610B7B">
            <w:pPr>
              <w:contextualSpacing/>
              <w:jc w:val="center"/>
              <w:rPr>
                <w:rFonts w:ascii="Arial Narrow" w:hAnsi="Arial Narrow" w:cs="Arial"/>
                <w:b/>
              </w:rPr>
            </w:pPr>
            <w:r w:rsidRPr="00417AA4">
              <w:rPr>
                <w:rFonts w:ascii="Arial Narrow" w:hAnsi="Arial Narrow" w:cs="Arial"/>
                <w:b/>
              </w:rPr>
              <w:t>Percentage (%)</w:t>
            </w:r>
          </w:p>
        </w:tc>
      </w:tr>
      <w:tr w:rsidR="0022401B" w:rsidRPr="0022401B" w14:paraId="1FF06196" w14:textId="77777777" w:rsidTr="00417AA4">
        <w:tblPrEx>
          <w:tblBorders>
            <w:insideH w:val="single" w:sz="4" w:space="0" w:color="auto"/>
            <w:insideV w:val="single" w:sz="4" w:space="0" w:color="auto"/>
          </w:tblBorders>
        </w:tblPrEx>
        <w:tc>
          <w:tcPr>
            <w:tcW w:w="3195" w:type="dxa"/>
            <w:tcBorders>
              <w:top w:val="single" w:sz="4" w:space="0" w:color="auto"/>
              <w:bottom w:val="single" w:sz="4" w:space="0" w:color="auto"/>
              <w:right w:val="nil"/>
            </w:tcBorders>
          </w:tcPr>
          <w:p w14:paraId="03EA9430" w14:textId="77777777" w:rsidR="00417AA4" w:rsidRPr="00417AA4" w:rsidRDefault="00417AA4" w:rsidP="00417AA4">
            <w:pPr>
              <w:ind w:left="318"/>
              <w:rPr>
                <w:rFonts w:ascii="Arial Narrow" w:hAnsi="Arial Narrow" w:cs="Arial"/>
              </w:rPr>
            </w:pPr>
            <w:r w:rsidRPr="00417AA4">
              <w:rPr>
                <w:rFonts w:ascii="Arial Narrow" w:hAnsi="Arial Narrow" w:cs="Arial"/>
              </w:rPr>
              <w:t>Degree I</w:t>
            </w:r>
          </w:p>
          <w:p w14:paraId="5943B1FA" w14:textId="77777777" w:rsidR="00417AA4" w:rsidRPr="00417AA4" w:rsidRDefault="00417AA4" w:rsidP="00417AA4">
            <w:pPr>
              <w:ind w:left="318"/>
              <w:rPr>
                <w:rFonts w:ascii="Arial Narrow" w:hAnsi="Arial Narrow" w:cs="Arial"/>
              </w:rPr>
            </w:pPr>
            <w:r w:rsidRPr="00417AA4">
              <w:rPr>
                <w:rFonts w:ascii="Arial Narrow" w:hAnsi="Arial Narrow" w:cs="Arial"/>
              </w:rPr>
              <w:t>Degree II</w:t>
            </w:r>
          </w:p>
          <w:p w14:paraId="150FBB09" w14:textId="77777777" w:rsidR="00417AA4" w:rsidRPr="00417AA4" w:rsidRDefault="00417AA4" w:rsidP="00417AA4">
            <w:pPr>
              <w:ind w:left="318"/>
              <w:rPr>
                <w:rFonts w:ascii="Arial Narrow" w:hAnsi="Arial Narrow" w:cs="Arial"/>
              </w:rPr>
            </w:pPr>
            <w:r w:rsidRPr="00417AA4">
              <w:rPr>
                <w:rFonts w:ascii="Arial Narrow" w:hAnsi="Arial Narrow" w:cs="Arial"/>
              </w:rPr>
              <w:t>Degree III</w:t>
            </w:r>
          </w:p>
          <w:p w14:paraId="1786FB60" w14:textId="77777777" w:rsidR="00417AA4" w:rsidRPr="00417AA4" w:rsidRDefault="00417AA4" w:rsidP="00417AA4">
            <w:pPr>
              <w:ind w:left="318"/>
              <w:rPr>
                <w:rFonts w:ascii="Arial Narrow" w:hAnsi="Arial Narrow" w:cs="Arial"/>
              </w:rPr>
            </w:pPr>
            <w:r w:rsidRPr="00417AA4">
              <w:rPr>
                <w:rFonts w:ascii="Arial Narrow" w:hAnsi="Arial Narrow" w:cs="Arial"/>
              </w:rPr>
              <w:t>Degree IV</w:t>
            </w:r>
          </w:p>
          <w:p w14:paraId="0EAC40A8" w14:textId="306640B5" w:rsidR="0022401B" w:rsidRPr="0022401B" w:rsidRDefault="00417AA4" w:rsidP="00417AA4">
            <w:pPr>
              <w:ind w:left="318"/>
              <w:rPr>
                <w:rFonts w:ascii="Arial Narrow" w:hAnsi="Arial Narrow" w:cs="Arial"/>
              </w:rPr>
            </w:pPr>
            <w:r w:rsidRPr="00417AA4">
              <w:rPr>
                <w:rFonts w:ascii="Arial Narrow" w:hAnsi="Arial Narrow" w:cs="Arial"/>
              </w:rPr>
              <w:t>Degree V</w:t>
            </w:r>
          </w:p>
        </w:tc>
        <w:tc>
          <w:tcPr>
            <w:tcW w:w="2070" w:type="dxa"/>
            <w:tcBorders>
              <w:top w:val="single" w:sz="4" w:space="0" w:color="auto"/>
              <w:left w:val="nil"/>
              <w:bottom w:val="single" w:sz="4" w:space="0" w:color="auto"/>
              <w:right w:val="nil"/>
            </w:tcBorders>
          </w:tcPr>
          <w:p w14:paraId="01391F76"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22</w:t>
            </w:r>
          </w:p>
          <w:p w14:paraId="0778AEB6"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15</w:t>
            </w:r>
          </w:p>
          <w:p w14:paraId="3BD3427A"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8</w:t>
            </w:r>
          </w:p>
          <w:p w14:paraId="32AA16CE"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12</w:t>
            </w:r>
          </w:p>
          <w:p w14:paraId="42399BC7"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32</w:t>
            </w:r>
          </w:p>
        </w:tc>
        <w:tc>
          <w:tcPr>
            <w:tcW w:w="2160" w:type="dxa"/>
            <w:tcBorders>
              <w:top w:val="single" w:sz="4" w:space="0" w:color="auto"/>
              <w:left w:val="nil"/>
              <w:bottom w:val="single" w:sz="4" w:space="0" w:color="auto"/>
            </w:tcBorders>
          </w:tcPr>
          <w:p w14:paraId="3719EAF3"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24.7</w:t>
            </w:r>
          </w:p>
          <w:p w14:paraId="785734F4"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16.9</w:t>
            </w:r>
          </w:p>
          <w:p w14:paraId="44977C30"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9</w:t>
            </w:r>
          </w:p>
          <w:p w14:paraId="0284078C"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13.4</w:t>
            </w:r>
          </w:p>
          <w:p w14:paraId="1E222BA0"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36</w:t>
            </w:r>
          </w:p>
        </w:tc>
      </w:tr>
      <w:tr w:rsidR="0022401B" w:rsidRPr="0022401B" w14:paraId="67048BFE" w14:textId="77777777" w:rsidTr="00417AA4">
        <w:tblPrEx>
          <w:tblBorders>
            <w:insideH w:val="single" w:sz="4" w:space="0" w:color="auto"/>
            <w:insideV w:val="single" w:sz="4" w:space="0" w:color="auto"/>
          </w:tblBorders>
        </w:tblPrEx>
        <w:tc>
          <w:tcPr>
            <w:tcW w:w="3195" w:type="dxa"/>
            <w:tcBorders>
              <w:top w:val="single" w:sz="4" w:space="0" w:color="auto"/>
              <w:bottom w:val="single" w:sz="4" w:space="0" w:color="auto"/>
              <w:right w:val="nil"/>
            </w:tcBorders>
          </w:tcPr>
          <w:p w14:paraId="63DC7468" w14:textId="77777777" w:rsidR="0022401B" w:rsidRPr="0022401B" w:rsidRDefault="0022401B" w:rsidP="00610B7B">
            <w:pPr>
              <w:contextualSpacing/>
              <w:rPr>
                <w:rFonts w:ascii="Arial Narrow" w:hAnsi="Arial Narrow" w:cs="Arial"/>
              </w:rPr>
            </w:pPr>
            <w:r w:rsidRPr="0022401B">
              <w:rPr>
                <w:rFonts w:ascii="Arial Narrow" w:hAnsi="Arial Narrow" w:cs="Arial"/>
              </w:rPr>
              <w:t>Total</w:t>
            </w:r>
          </w:p>
        </w:tc>
        <w:tc>
          <w:tcPr>
            <w:tcW w:w="2070" w:type="dxa"/>
            <w:tcBorders>
              <w:top w:val="single" w:sz="4" w:space="0" w:color="auto"/>
              <w:left w:val="nil"/>
              <w:bottom w:val="single" w:sz="4" w:space="0" w:color="auto"/>
              <w:right w:val="nil"/>
            </w:tcBorders>
          </w:tcPr>
          <w:p w14:paraId="1B6AAD79"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89</w:t>
            </w:r>
          </w:p>
        </w:tc>
        <w:tc>
          <w:tcPr>
            <w:tcW w:w="2160" w:type="dxa"/>
            <w:tcBorders>
              <w:top w:val="single" w:sz="4" w:space="0" w:color="auto"/>
              <w:left w:val="nil"/>
              <w:bottom w:val="single" w:sz="4" w:space="0" w:color="auto"/>
            </w:tcBorders>
          </w:tcPr>
          <w:p w14:paraId="668DBFD0" w14:textId="77777777" w:rsidR="0022401B" w:rsidRPr="0022401B" w:rsidRDefault="0022401B" w:rsidP="00610B7B">
            <w:pPr>
              <w:contextualSpacing/>
              <w:jc w:val="center"/>
              <w:rPr>
                <w:rFonts w:ascii="Arial Narrow" w:hAnsi="Arial Narrow" w:cs="Arial"/>
              </w:rPr>
            </w:pPr>
            <w:r w:rsidRPr="0022401B">
              <w:rPr>
                <w:rFonts w:ascii="Arial Narrow" w:hAnsi="Arial Narrow" w:cs="Arial"/>
              </w:rPr>
              <w:t>100</w:t>
            </w:r>
          </w:p>
        </w:tc>
      </w:tr>
    </w:tbl>
    <w:p w14:paraId="347B6BA9" w14:textId="6EE46475" w:rsidR="0022401B" w:rsidRPr="0022401B" w:rsidRDefault="00417AA4" w:rsidP="0022401B">
      <w:pPr>
        <w:spacing w:line="276" w:lineRule="auto"/>
        <w:ind w:left="567" w:firstLine="567"/>
        <w:contextualSpacing/>
        <w:jc w:val="both"/>
        <w:rPr>
          <w:rFonts w:ascii="Arial Narrow" w:hAnsi="Arial Narrow" w:cs="Arial"/>
          <w:lang w:eastAsia="x-none"/>
        </w:rPr>
      </w:pPr>
      <w:r w:rsidRPr="00417AA4">
        <w:rPr>
          <w:rFonts w:ascii="Arial Narrow" w:hAnsi="Arial Narrow" w:cs="Arial"/>
          <w:lang w:eastAsia="x-none"/>
        </w:rPr>
        <w:t>Table 2 shows that 22 respondents experienced grade I hyperbilirubinemia (24.7%), 15 respondents had grade II (16.9%), 8 respondents had grade III (9%), 12 respondents had grade IV (13.4%) and V as many as 32 respondents (36%).</w:t>
      </w:r>
    </w:p>
    <w:p w14:paraId="7DDE0ACE" w14:textId="77777777" w:rsidR="0022401B" w:rsidRPr="0022401B" w:rsidRDefault="0022401B" w:rsidP="0022401B">
      <w:pPr>
        <w:spacing w:line="276" w:lineRule="auto"/>
        <w:ind w:left="567" w:firstLine="567"/>
        <w:contextualSpacing/>
        <w:jc w:val="both"/>
        <w:rPr>
          <w:rFonts w:ascii="Arial Narrow" w:hAnsi="Arial Narrow" w:cs="Arial"/>
        </w:rPr>
      </w:pPr>
    </w:p>
    <w:p w14:paraId="44CD7B2F" w14:textId="19FB8528" w:rsidR="00417AA4" w:rsidRPr="00417AA4" w:rsidRDefault="00417AA4" w:rsidP="00417AA4">
      <w:pPr>
        <w:pStyle w:val="ListParagraph"/>
        <w:numPr>
          <w:ilvl w:val="0"/>
          <w:numId w:val="13"/>
        </w:numPr>
        <w:spacing w:line="276" w:lineRule="auto"/>
        <w:contextualSpacing/>
        <w:jc w:val="both"/>
        <w:rPr>
          <w:rFonts w:ascii="Arial Narrow" w:hAnsi="Arial Narrow" w:cs="Arial"/>
        </w:rPr>
      </w:pPr>
      <w:r w:rsidRPr="00417AA4">
        <w:rPr>
          <w:rFonts w:ascii="Arial Narrow" w:hAnsi="Arial Narrow" w:cs="Arial"/>
          <w:bCs/>
          <w:lang w:val="x-none" w:eastAsia="x-none"/>
        </w:rPr>
        <w:t>Relationship</w:t>
      </w:r>
      <w:r w:rsidRPr="00417AA4">
        <w:rPr>
          <w:rFonts w:ascii="Arial Narrow" w:hAnsi="Arial Narrow" w:cs="Arial"/>
        </w:rPr>
        <w:t xml:space="preserve"> between type of delivery and the incidence of hyperbilirubinemia in newborns at RSIA Bunda Arif </w:t>
      </w:r>
      <w:proofErr w:type="spellStart"/>
      <w:r w:rsidRPr="00417AA4">
        <w:rPr>
          <w:rFonts w:ascii="Arial Narrow" w:hAnsi="Arial Narrow" w:cs="Arial"/>
        </w:rPr>
        <w:t>Purwokerto</w:t>
      </w:r>
      <w:proofErr w:type="spellEnd"/>
    </w:p>
    <w:p w14:paraId="596B07B0" w14:textId="77777777" w:rsidR="00417AA4" w:rsidRPr="00417AA4" w:rsidRDefault="00417AA4" w:rsidP="00417AA4">
      <w:pPr>
        <w:ind w:left="1701" w:hanging="1134"/>
        <w:contextualSpacing/>
        <w:jc w:val="center"/>
        <w:rPr>
          <w:rFonts w:ascii="Arial Narrow" w:eastAsia="SimSun" w:hAnsi="Arial Narrow" w:cs="Arial"/>
          <w:b/>
          <w:kern w:val="0"/>
          <w:sz w:val="24"/>
          <w:szCs w:val="24"/>
          <w:lang w:val="x-none" w:eastAsia="x-none"/>
          <w14:ligatures w14:val="none"/>
        </w:rPr>
      </w:pPr>
      <w:r w:rsidRPr="00417AA4">
        <w:rPr>
          <w:rFonts w:ascii="Arial Narrow" w:eastAsia="SimSun" w:hAnsi="Arial Narrow" w:cs="Arial"/>
          <w:b/>
          <w:kern w:val="0"/>
          <w:sz w:val="24"/>
          <w:szCs w:val="24"/>
          <w:lang w:val="x-none" w:eastAsia="x-none"/>
          <w14:ligatures w14:val="none"/>
        </w:rPr>
        <w:t>Table 3</w:t>
      </w:r>
    </w:p>
    <w:p w14:paraId="6F5EDD8F" w14:textId="7A12D076" w:rsidR="0022401B" w:rsidRDefault="00417AA4" w:rsidP="00417AA4">
      <w:pPr>
        <w:ind w:left="1701" w:hanging="1134"/>
        <w:contextualSpacing/>
        <w:jc w:val="center"/>
        <w:rPr>
          <w:rFonts w:ascii="Arial Narrow" w:eastAsia="SimSun" w:hAnsi="Arial Narrow" w:cs="Arial"/>
          <w:b/>
          <w:kern w:val="0"/>
          <w:sz w:val="24"/>
          <w:szCs w:val="24"/>
          <w:lang w:val="x-none" w:eastAsia="x-none"/>
          <w14:ligatures w14:val="none"/>
        </w:rPr>
      </w:pPr>
      <w:r w:rsidRPr="00417AA4">
        <w:rPr>
          <w:rFonts w:ascii="Arial Narrow" w:eastAsia="SimSun" w:hAnsi="Arial Narrow" w:cs="Arial"/>
          <w:b/>
          <w:kern w:val="0"/>
          <w:sz w:val="24"/>
          <w:szCs w:val="24"/>
          <w:lang w:val="x-none" w:eastAsia="x-none"/>
          <w14:ligatures w14:val="none"/>
        </w:rPr>
        <w:t xml:space="preserve">Relationship between type of delivery and incidence of hyperbilirubinemia in newborns at RSIA Bunda Arif </w:t>
      </w:r>
      <w:proofErr w:type="spellStart"/>
      <w:r w:rsidRPr="00417AA4">
        <w:rPr>
          <w:rFonts w:ascii="Arial Narrow" w:eastAsia="SimSun" w:hAnsi="Arial Narrow" w:cs="Arial"/>
          <w:b/>
          <w:kern w:val="0"/>
          <w:sz w:val="24"/>
          <w:szCs w:val="24"/>
          <w:lang w:val="x-none" w:eastAsia="x-none"/>
          <w14:ligatures w14:val="none"/>
        </w:rPr>
        <w:t>Purwokerto</w:t>
      </w:r>
      <w:proofErr w:type="spellEnd"/>
    </w:p>
    <w:p w14:paraId="70397F36" w14:textId="77777777" w:rsidR="00417AA4" w:rsidRPr="0022401B" w:rsidRDefault="00417AA4" w:rsidP="00417AA4">
      <w:pPr>
        <w:ind w:left="1701" w:hanging="1134"/>
        <w:contextualSpacing/>
        <w:jc w:val="center"/>
        <w:rPr>
          <w:rFonts w:ascii="Arial Narrow" w:hAnsi="Arial Narrow" w:cs="Arial"/>
          <w:b/>
          <w:lang w:eastAsia="x-none"/>
        </w:rPr>
      </w:pPr>
    </w:p>
    <w:tbl>
      <w:tblPr>
        <w:tblW w:w="5517" w:type="pct"/>
        <w:tblBorders>
          <w:top w:val="single" w:sz="4" w:space="0" w:color="auto"/>
          <w:bottom w:val="single" w:sz="4" w:space="0" w:color="auto"/>
          <w:insideH w:val="single" w:sz="4" w:space="0" w:color="auto"/>
        </w:tblBorders>
        <w:tblLook w:val="05E0" w:firstRow="1" w:lastRow="1" w:firstColumn="1" w:lastColumn="1" w:noHBand="0" w:noVBand="1"/>
      </w:tblPr>
      <w:tblGrid>
        <w:gridCol w:w="2118"/>
        <w:gridCol w:w="702"/>
        <w:gridCol w:w="954"/>
        <w:gridCol w:w="653"/>
        <w:gridCol w:w="919"/>
        <w:gridCol w:w="544"/>
        <w:gridCol w:w="632"/>
        <w:gridCol w:w="663"/>
        <w:gridCol w:w="913"/>
        <w:gridCol w:w="700"/>
        <w:gridCol w:w="954"/>
      </w:tblGrid>
      <w:tr w:rsidR="0022401B" w:rsidRPr="0022401B" w14:paraId="11736976" w14:textId="77777777" w:rsidTr="00610B7B">
        <w:trPr>
          <w:trHeight w:val="20"/>
          <w:tblHeader/>
        </w:trPr>
        <w:tc>
          <w:tcPr>
            <w:tcW w:w="1086" w:type="pct"/>
            <w:vMerge w:val="restart"/>
            <w:tcBorders>
              <w:top w:val="single" w:sz="4" w:space="0" w:color="auto"/>
              <w:left w:val="nil"/>
              <w:bottom w:val="single" w:sz="4" w:space="0" w:color="auto"/>
              <w:right w:val="nil"/>
            </w:tcBorders>
            <w:vAlign w:val="center"/>
            <w:hideMark/>
          </w:tcPr>
          <w:p w14:paraId="6E388DEA" w14:textId="77777777" w:rsidR="00417AA4" w:rsidRPr="00417AA4" w:rsidRDefault="00417AA4" w:rsidP="00417AA4">
            <w:pPr>
              <w:spacing w:line="276" w:lineRule="auto"/>
              <w:contextualSpacing/>
              <w:jc w:val="center"/>
              <w:rPr>
                <w:rFonts w:ascii="Arial Narrow" w:hAnsi="Arial Narrow" w:cs="Arial"/>
                <w:b/>
                <w:bCs/>
              </w:rPr>
            </w:pPr>
            <w:r w:rsidRPr="00417AA4">
              <w:rPr>
                <w:rFonts w:ascii="Arial Narrow" w:hAnsi="Arial Narrow" w:cs="Arial"/>
                <w:b/>
                <w:bCs/>
              </w:rPr>
              <w:t>Types of Labor Hyperbilirubinemia</w:t>
            </w:r>
          </w:p>
          <w:p w14:paraId="2566B19C" w14:textId="2F5942C2" w:rsidR="0022401B" w:rsidRPr="0022401B" w:rsidRDefault="0022401B" w:rsidP="00417AA4">
            <w:pPr>
              <w:spacing w:line="276" w:lineRule="auto"/>
              <w:contextualSpacing/>
              <w:jc w:val="center"/>
              <w:rPr>
                <w:rFonts w:ascii="Arial Narrow" w:hAnsi="Arial Narrow" w:cs="Arial"/>
                <w:b/>
                <w:bCs/>
              </w:rPr>
            </w:pPr>
          </w:p>
        </w:tc>
        <w:tc>
          <w:tcPr>
            <w:tcW w:w="3914" w:type="pct"/>
            <w:gridSpan w:val="10"/>
            <w:tcBorders>
              <w:top w:val="single" w:sz="4" w:space="0" w:color="auto"/>
              <w:left w:val="nil"/>
              <w:bottom w:val="single" w:sz="4" w:space="0" w:color="auto"/>
              <w:right w:val="nil"/>
            </w:tcBorders>
          </w:tcPr>
          <w:p w14:paraId="6FB86E7B" w14:textId="77777777" w:rsidR="0022401B" w:rsidRPr="0022401B" w:rsidRDefault="0022401B" w:rsidP="00610B7B">
            <w:pPr>
              <w:shd w:val="clear" w:color="auto" w:fill="FFFFFF"/>
              <w:spacing w:line="276" w:lineRule="auto"/>
              <w:jc w:val="center"/>
              <w:rPr>
                <w:rFonts w:ascii="Arial Narrow" w:hAnsi="Arial Narrow" w:cs="Arial"/>
                <w:b/>
                <w:bCs/>
              </w:rPr>
            </w:pPr>
            <w:proofErr w:type="spellStart"/>
            <w:r w:rsidRPr="0022401B">
              <w:rPr>
                <w:rFonts w:ascii="Arial Narrow" w:hAnsi="Arial Narrow" w:cs="Arial"/>
                <w:b/>
              </w:rPr>
              <w:t>Hiperbilirubinemia</w:t>
            </w:r>
            <w:proofErr w:type="spellEnd"/>
          </w:p>
        </w:tc>
      </w:tr>
      <w:tr w:rsidR="0022401B" w:rsidRPr="0022401B" w14:paraId="13C5B557" w14:textId="77777777" w:rsidTr="00610B7B">
        <w:trPr>
          <w:trHeight w:val="20"/>
          <w:tblHeader/>
        </w:trPr>
        <w:tc>
          <w:tcPr>
            <w:tcW w:w="1086" w:type="pct"/>
            <w:vMerge/>
            <w:tcBorders>
              <w:top w:val="single" w:sz="4" w:space="0" w:color="auto"/>
              <w:left w:val="nil"/>
              <w:bottom w:val="single" w:sz="4" w:space="0" w:color="auto"/>
              <w:right w:val="nil"/>
            </w:tcBorders>
            <w:vAlign w:val="center"/>
            <w:hideMark/>
          </w:tcPr>
          <w:p w14:paraId="13A18240" w14:textId="77777777" w:rsidR="0022401B" w:rsidRPr="0022401B" w:rsidRDefault="0022401B" w:rsidP="00610B7B">
            <w:pPr>
              <w:spacing w:line="276" w:lineRule="auto"/>
              <w:rPr>
                <w:rFonts w:ascii="Arial Narrow" w:hAnsi="Arial Narrow" w:cs="Arial"/>
                <w:bCs/>
              </w:rPr>
            </w:pPr>
          </w:p>
        </w:tc>
        <w:tc>
          <w:tcPr>
            <w:tcW w:w="849" w:type="pct"/>
            <w:gridSpan w:val="2"/>
            <w:tcBorders>
              <w:top w:val="single" w:sz="4" w:space="0" w:color="auto"/>
              <w:left w:val="nil"/>
              <w:bottom w:val="single" w:sz="4" w:space="0" w:color="auto"/>
              <w:right w:val="nil"/>
            </w:tcBorders>
          </w:tcPr>
          <w:p w14:paraId="360E9570" w14:textId="77777777" w:rsidR="0022401B" w:rsidRPr="0022401B" w:rsidRDefault="0022401B" w:rsidP="00610B7B">
            <w:pPr>
              <w:shd w:val="clear" w:color="auto" w:fill="FFFFFF"/>
              <w:spacing w:line="276" w:lineRule="auto"/>
              <w:jc w:val="center"/>
              <w:rPr>
                <w:rFonts w:ascii="Arial Narrow" w:hAnsi="Arial Narrow" w:cs="Arial"/>
                <w:b/>
                <w:bCs/>
              </w:rPr>
            </w:pPr>
            <w:r w:rsidRPr="0022401B">
              <w:rPr>
                <w:rFonts w:ascii="Arial Narrow" w:hAnsi="Arial Narrow" w:cs="Arial"/>
                <w:b/>
                <w:bCs/>
              </w:rPr>
              <w:t>D. I</w:t>
            </w:r>
          </w:p>
        </w:tc>
        <w:tc>
          <w:tcPr>
            <w:tcW w:w="806" w:type="pct"/>
            <w:gridSpan w:val="2"/>
            <w:tcBorders>
              <w:top w:val="single" w:sz="4" w:space="0" w:color="auto"/>
              <w:left w:val="nil"/>
              <w:bottom w:val="single" w:sz="4" w:space="0" w:color="auto"/>
              <w:right w:val="nil"/>
            </w:tcBorders>
          </w:tcPr>
          <w:p w14:paraId="6887A866" w14:textId="77777777" w:rsidR="0022401B" w:rsidRPr="0022401B" w:rsidRDefault="0022401B" w:rsidP="00610B7B">
            <w:pPr>
              <w:shd w:val="clear" w:color="auto" w:fill="FFFFFF"/>
              <w:spacing w:line="276" w:lineRule="auto"/>
              <w:jc w:val="center"/>
              <w:rPr>
                <w:rFonts w:ascii="Arial Narrow" w:hAnsi="Arial Narrow" w:cs="Arial"/>
                <w:b/>
                <w:bCs/>
              </w:rPr>
            </w:pPr>
            <w:r w:rsidRPr="0022401B">
              <w:rPr>
                <w:rFonts w:ascii="Arial Narrow" w:hAnsi="Arial Narrow" w:cs="Arial"/>
                <w:b/>
                <w:bCs/>
              </w:rPr>
              <w:t>D. II</w:t>
            </w:r>
          </w:p>
        </w:tc>
        <w:tc>
          <w:tcPr>
            <w:tcW w:w="603" w:type="pct"/>
            <w:gridSpan w:val="2"/>
            <w:tcBorders>
              <w:left w:val="nil"/>
              <w:bottom w:val="single" w:sz="4" w:space="0" w:color="auto"/>
              <w:right w:val="nil"/>
            </w:tcBorders>
          </w:tcPr>
          <w:p w14:paraId="37545288" w14:textId="77777777" w:rsidR="0022401B" w:rsidRPr="0022401B" w:rsidRDefault="0022401B" w:rsidP="00610B7B">
            <w:pPr>
              <w:spacing w:line="276" w:lineRule="auto"/>
              <w:jc w:val="center"/>
              <w:rPr>
                <w:rFonts w:ascii="Arial Narrow" w:hAnsi="Arial Narrow" w:cs="Arial"/>
                <w:b/>
                <w:bCs/>
              </w:rPr>
            </w:pPr>
            <w:r w:rsidRPr="0022401B">
              <w:rPr>
                <w:rFonts w:ascii="Arial Narrow" w:hAnsi="Arial Narrow" w:cs="Arial"/>
                <w:b/>
                <w:bCs/>
              </w:rPr>
              <w:t>D. III</w:t>
            </w:r>
          </w:p>
        </w:tc>
        <w:tc>
          <w:tcPr>
            <w:tcW w:w="808" w:type="pct"/>
            <w:gridSpan w:val="2"/>
            <w:tcBorders>
              <w:left w:val="nil"/>
              <w:bottom w:val="single" w:sz="4" w:space="0" w:color="auto"/>
              <w:right w:val="nil"/>
            </w:tcBorders>
          </w:tcPr>
          <w:p w14:paraId="38EF0073" w14:textId="77777777" w:rsidR="0022401B" w:rsidRPr="0022401B" w:rsidRDefault="0022401B" w:rsidP="00610B7B">
            <w:pPr>
              <w:spacing w:line="276" w:lineRule="auto"/>
              <w:jc w:val="center"/>
              <w:rPr>
                <w:rFonts w:ascii="Arial Narrow" w:hAnsi="Arial Narrow" w:cs="Arial"/>
                <w:b/>
                <w:bCs/>
              </w:rPr>
            </w:pPr>
            <w:r w:rsidRPr="0022401B">
              <w:rPr>
                <w:rFonts w:ascii="Arial Narrow" w:hAnsi="Arial Narrow" w:cs="Arial"/>
                <w:b/>
                <w:bCs/>
              </w:rPr>
              <w:t>D. IV</w:t>
            </w:r>
          </w:p>
        </w:tc>
        <w:tc>
          <w:tcPr>
            <w:tcW w:w="848" w:type="pct"/>
            <w:gridSpan w:val="2"/>
            <w:tcBorders>
              <w:left w:val="nil"/>
              <w:bottom w:val="single" w:sz="4" w:space="0" w:color="auto"/>
              <w:right w:val="nil"/>
            </w:tcBorders>
          </w:tcPr>
          <w:p w14:paraId="43F11BD6" w14:textId="77777777" w:rsidR="0022401B" w:rsidRPr="0022401B" w:rsidRDefault="0022401B" w:rsidP="00610B7B">
            <w:pPr>
              <w:spacing w:line="276" w:lineRule="auto"/>
              <w:jc w:val="center"/>
              <w:rPr>
                <w:rFonts w:ascii="Arial Narrow" w:hAnsi="Arial Narrow" w:cs="Arial"/>
                <w:b/>
                <w:bCs/>
              </w:rPr>
            </w:pPr>
            <w:r w:rsidRPr="0022401B">
              <w:rPr>
                <w:rFonts w:ascii="Arial Narrow" w:hAnsi="Arial Narrow" w:cs="Arial"/>
                <w:b/>
                <w:bCs/>
              </w:rPr>
              <w:t>D. V</w:t>
            </w:r>
          </w:p>
        </w:tc>
      </w:tr>
      <w:tr w:rsidR="0022401B" w:rsidRPr="0022401B" w14:paraId="5AD94C20" w14:textId="77777777" w:rsidTr="00610B7B">
        <w:trPr>
          <w:trHeight w:val="20"/>
          <w:tblHeader/>
        </w:trPr>
        <w:tc>
          <w:tcPr>
            <w:tcW w:w="1086" w:type="pct"/>
            <w:vMerge/>
            <w:tcBorders>
              <w:top w:val="single" w:sz="4" w:space="0" w:color="auto"/>
              <w:left w:val="nil"/>
              <w:bottom w:val="single" w:sz="4" w:space="0" w:color="auto"/>
              <w:right w:val="nil"/>
            </w:tcBorders>
            <w:vAlign w:val="center"/>
            <w:hideMark/>
          </w:tcPr>
          <w:p w14:paraId="22CA80DB" w14:textId="77777777" w:rsidR="0022401B" w:rsidRPr="0022401B" w:rsidRDefault="0022401B" w:rsidP="00610B7B">
            <w:pPr>
              <w:spacing w:line="276" w:lineRule="auto"/>
              <w:rPr>
                <w:rFonts w:ascii="Arial Narrow" w:hAnsi="Arial Narrow" w:cs="Arial"/>
                <w:bCs/>
              </w:rPr>
            </w:pPr>
          </w:p>
        </w:tc>
        <w:tc>
          <w:tcPr>
            <w:tcW w:w="360" w:type="pct"/>
            <w:tcBorders>
              <w:top w:val="single" w:sz="4" w:space="0" w:color="auto"/>
              <w:left w:val="nil"/>
              <w:bottom w:val="single" w:sz="4" w:space="0" w:color="auto"/>
              <w:right w:val="nil"/>
            </w:tcBorders>
            <w:vAlign w:val="center"/>
            <w:hideMark/>
          </w:tcPr>
          <w:p w14:paraId="4DBE1884"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489" w:type="pct"/>
            <w:tcBorders>
              <w:top w:val="single" w:sz="4" w:space="0" w:color="auto"/>
              <w:left w:val="nil"/>
              <w:bottom w:val="single" w:sz="4" w:space="0" w:color="auto"/>
              <w:right w:val="nil"/>
            </w:tcBorders>
            <w:vAlign w:val="center"/>
            <w:hideMark/>
          </w:tcPr>
          <w:p w14:paraId="10BF5A52"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c>
          <w:tcPr>
            <w:tcW w:w="335" w:type="pct"/>
            <w:tcBorders>
              <w:top w:val="single" w:sz="4" w:space="0" w:color="auto"/>
              <w:left w:val="nil"/>
              <w:bottom w:val="single" w:sz="4" w:space="0" w:color="auto"/>
              <w:right w:val="nil"/>
            </w:tcBorders>
            <w:vAlign w:val="center"/>
          </w:tcPr>
          <w:p w14:paraId="17F8B184"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471" w:type="pct"/>
            <w:tcBorders>
              <w:top w:val="single" w:sz="4" w:space="0" w:color="auto"/>
              <w:left w:val="nil"/>
              <w:bottom w:val="single" w:sz="4" w:space="0" w:color="auto"/>
              <w:right w:val="nil"/>
            </w:tcBorders>
            <w:vAlign w:val="center"/>
          </w:tcPr>
          <w:p w14:paraId="3ABED17F"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c>
          <w:tcPr>
            <w:tcW w:w="279" w:type="pct"/>
            <w:tcBorders>
              <w:top w:val="single" w:sz="4" w:space="0" w:color="auto"/>
              <w:left w:val="nil"/>
              <w:bottom w:val="single" w:sz="4" w:space="0" w:color="auto"/>
              <w:right w:val="nil"/>
            </w:tcBorders>
            <w:vAlign w:val="center"/>
          </w:tcPr>
          <w:p w14:paraId="4577C5FC"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323" w:type="pct"/>
            <w:tcBorders>
              <w:top w:val="single" w:sz="4" w:space="0" w:color="auto"/>
              <w:left w:val="nil"/>
              <w:bottom w:val="single" w:sz="4" w:space="0" w:color="auto"/>
              <w:right w:val="nil"/>
            </w:tcBorders>
            <w:vAlign w:val="center"/>
          </w:tcPr>
          <w:p w14:paraId="1EF32E03"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c>
          <w:tcPr>
            <w:tcW w:w="340" w:type="pct"/>
            <w:tcBorders>
              <w:top w:val="single" w:sz="4" w:space="0" w:color="auto"/>
              <w:left w:val="nil"/>
              <w:bottom w:val="single" w:sz="4" w:space="0" w:color="auto"/>
              <w:right w:val="nil"/>
            </w:tcBorders>
            <w:vAlign w:val="center"/>
          </w:tcPr>
          <w:p w14:paraId="7238FE48"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468" w:type="pct"/>
            <w:tcBorders>
              <w:top w:val="single" w:sz="4" w:space="0" w:color="auto"/>
              <w:left w:val="nil"/>
              <w:bottom w:val="single" w:sz="4" w:space="0" w:color="auto"/>
              <w:right w:val="nil"/>
            </w:tcBorders>
            <w:vAlign w:val="center"/>
          </w:tcPr>
          <w:p w14:paraId="0F7FFE27"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c>
          <w:tcPr>
            <w:tcW w:w="359" w:type="pct"/>
            <w:tcBorders>
              <w:top w:val="single" w:sz="4" w:space="0" w:color="auto"/>
              <w:left w:val="nil"/>
              <w:bottom w:val="single" w:sz="4" w:space="0" w:color="auto"/>
              <w:right w:val="nil"/>
            </w:tcBorders>
            <w:vAlign w:val="center"/>
          </w:tcPr>
          <w:p w14:paraId="3C45EA85"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490" w:type="pct"/>
            <w:tcBorders>
              <w:top w:val="single" w:sz="4" w:space="0" w:color="auto"/>
              <w:left w:val="nil"/>
              <w:bottom w:val="single" w:sz="4" w:space="0" w:color="auto"/>
              <w:right w:val="nil"/>
            </w:tcBorders>
            <w:vAlign w:val="center"/>
          </w:tcPr>
          <w:p w14:paraId="6142CDAD"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r>
      <w:tr w:rsidR="0022401B" w:rsidRPr="0022401B" w14:paraId="4A3F5ECC" w14:textId="77777777" w:rsidTr="00610B7B">
        <w:trPr>
          <w:trHeight w:val="20"/>
        </w:trPr>
        <w:tc>
          <w:tcPr>
            <w:tcW w:w="1086" w:type="pct"/>
            <w:tcBorders>
              <w:top w:val="nil"/>
              <w:left w:val="nil"/>
              <w:bottom w:val="nil"/>
              <w:right w:val="nil"/>
            </w:tcBorders>
          </w:tcPr>
          <w:p w14:paraId="046527EA" w14:textId="0E62D5C3" w:rsidR="0022401B" w:rsidRPr="0022401B" w:rsidRDefault="00417AA4" w:rsidP="00610B7B">
            <w:pPr>
              <w:shd w:val="clear" w:color="auto" w:fill="FFFFFF"/>
              <w:spacing w:line="276" w:lineRule="auto"/>
              <w:ind w:left="312"/>
              <w:jc w:val="both"/>
              <w:rPr>
                <w:rFonts w:ascii="Arial Narrow" w:hAnsi="Arial Narrow" w:cs="Arial"/>
                <w:bCs/>
              </w:rPr>
            </w:pPr>
            <w:r w:rsidRPr="00417AA4">
              <w:rPr>
                <w:rFonts w:ascii="Arial Narrow" w:hAnsi="Arial Narrow" w:cs="Arial"/>
                <w:b/>
                <w:bCs/>
              </w:rPr>
              <w:t>Pathological</w:t>
            </w:r>
          </w:p>
          <w:p w14:paraId="5E2AC5A2" w14:textId="77777777" w:rsidR="00417AA4" w:rsidRDefault="00417AA4" w:rsidP="00610B7B">
            <w:pPr>
              <w:shd w:val="clear" w:color="auto" w:fill="FFFFFF"/>
              <w:spacing w:line="276" w:lineRule="auto"/>
              <w:ind w:left="312"/>
              <w:jc w:val="both"/>
              <w:rPr>
                <w:rFonts w:ascii="Arial Narrow" w:hAnsi="Arial Narrow" w:cs="Arial"/>
              </w:rPr>
            </w:pPr>
          </w:p>
          <w:p w14:paraId="37B8FBB3" w14:textId="49DDBD71" w:rsidR="0022401B" w:rsidRPr="00417AA4" w:rsidRDefault="00417AA4" w:rsidP="00610B7B">
            <w:pPr>
              <w:shd w:val="clear" w:color="auto" w:fill="FFFFFF"/>
              <w:spacing w:line="276" w:lineRule="auto"/>
              <w:ind w:left="312"/>
              <w:jc w:val="both"/>
              <w:rPr>
                <w:rFonts w:ascii="Arial Narrow" w:hAnsi="Arial Narrow" w:cs="Arial"/>
                <w:b/>
                <w:bCs/>
              </w:rPr>
            </w:pPr>
            <w:r w:rsidRPr="00417AA4">
              <w:rPr>
                <w:rFonts w:ascii="Arial Narrow" w:hAnsi="Arial Narrow" w:cs="Arial"/>
                <w:b/>
                <w:bCs/>
              </w:rPr>
              <w:t>Normal</w:t>
            </w:r>
          </w:p>
        </w:tc>
        <w:tc>
          <w:tcPr>
            <w:tcW w:w="360" w:type="pct"/>
            <w:tcBorders>
              <w:top w:val="nil"/>
              <w:left w:val="nil"/>
              <w:bottom w:val="nil"/>
              <w:right w:val="nil"/>
            </w:tcBorders>
          </w:tcPr>
          <w:p w14:paraId="4E9CC4A3" w14:textId="77777777" w:rsidR="0022401B" w:rsidRPr="0022401B" w:rsidRDefault="0022401B" w:rsidP="00610B7B">
            <w:pPr>
              <w:spacing w:line="276" w:lineRule="auto"/>
              <w:ind w:right="-31"/>
              <w:jc w:val="center"/>
              <w:rPr>
                <w:rFonts w:ascii="Arial Narrow" w:hAnsi="Arial Narrow" w:cs="Arial"/>
                <w:lang w:eastAsia="x-none"/>
              </w:rPr>
            </w:pPr>
            <w:r w:rsidRPr="0022401B">
              <w:rPr>
                <w:rFonts w:ascii="Arial Narrow" w:hAnsi="Arial Narrow" w:cs="Arial"/>
                <w:lang w:eastAsia="x-none"/>
              </w:rPr>
              <w:t>1</w:t>
            </w:r>
          </w:p>
          <w:p w14:paraId="6F308D69" w14:textId="77777777" w:rsidR="0022401B" w:rsidRPr="0022401B" w:rsidRDefault="0022401B" w:rsidP="00610B7B">
            <w:pPr>
              <w:spacing w:line="276" w:lineRule="auto"/>
              <w:ind w:right="-31"/>
              <w:jc w:val="center"/>
              <w:rPr>
                <w:rFonts w:ascii="Arial Narrow" w:hAnsi="Arial Narrow" w:cs="Arial"/>
                <w:lang w:eastAsia="x-none"/>
              </w:rPr>
            </w:pPr>
          </w:p>
          <w:p w14:paraId="34ADDA13" w14:textId="77777777" w:rsidR="0022401B" w:rsidRPr="0022401B" w:rsidRDefault="0022401B" w:rsidP="00610B7B">
            <w:pPr>
              <w:spacing w:line="276" w:lineRule="auto"/>
              <w:ind w:right="-31"/>
              <w:jc w:val="center"/>
              <w:rPr>
                <w:rFonts w:ascii="Arial Narrow" w:hAnsi="Arial Narrow" w:cs="Arial"/>
                <w:lang w:eastAsia="x-none"/>
              </w:rPr>
            </w:pPr>
            <w:r w:rsidRPr="0022401B">
              <w:rPr>
                <w:rFonts w:ascii="Arial Narrow" w:hAnsi="Arial Narrow" w:cs="Arial"/>
                <w:lang w:eastAsia="x-none"/>
              </w:rPr>
              <w:t>21</w:t>
            </w:r>
          </w:p>
        </w:tc>
        <w:tc>
          <w:tcPr>
            <w:tcW w:w="489" w:type="pct"/>
            <w:tcBorders>
              <w:top w:val="nil"/>
              <w:left w:val="nil"/>
              <w:bottom w:val="nil"/>
              <w:right w:val="nil"/>
            </w:tcBorders>
          </w:tcPr>
          <w:p w14:paraId="0C93D828" w14:textId="77777777" w:rsidR="0022401B" w:rsidRPr="0022401B" w:rsidRDefault="0022401B" w:rsidP="00610B7B">
            <w:pPr>
              <w:spacing w:line="276" w:lineRule="auto"/>
              <w:jc w:val="center"/>
              <w:rPr>
                <w:rFonts w:ascii="Arial Narrow" w:hAnsi="Arial Narrow" w:cs="Arial"/>
                <w:bCs/>
                <w:lang w:eastAsia="x-none"/>
              </w:rPr>
            </w:pPr>
            <w:r w:rsidRPr="0022401B">
              <w:rPr>
                <w:rFonts w:ascii="Arial Narrow" w:hAnsi="Arial Narrow" w:cs="Arial"/>
                <w:bCs/>
                <w:lang w:eastAsia="x-none"/>
              </w:rPr>
              <w:t>1.1</w:t>
            </w:r>
          </w:p>
          <w:p w14:paraId="1ED8346D" w14:textId="77777777" w:rsidR="0022401B" w:rsidRPr="0022401B" w:rsidRDefault="0022401B" w:rsidP="00610B7B">
            <w:pPr>
              <w:spacing w:line="276" w:lineRule="auto"/>
              <w:jc w:val="center"/>
              <w:rPr>
                <w:rFonts w:ascii="Arial Narrow" w:hAnsi="Arial Narrow" w:cs="Arial"/>
                <w:bCs/>
                <w:lang w:eastAsia="x-none"/>
              </w:rPr>
            </w:pPr>
          </w:p>
          <w:p w14:paraId="675FEE6C" w14:textId="77777777" w:rsidR="0022401B" w:rsidRPr="0022401B" w:rsidRDefault="0022401B" w:rsidP="00610B7B">
            <w:pPr>
              <w:spacing w:line="276" w:lineRule="auto"/>
              <w:jc w:val="center"/>
              <w:rPr>
                <w:rFonts w:ascii="Arial Narrow" w:hAnsi="Arial Narrow" w:cs="Arial"/>
                <w:lang w:eastAsia="x-none"/>
              </w:rPr>
            </w:pPr>
            <w:r w:rsidRPr="0022401B">
              <w:rPr>
                <w:rFonts w:ascii="Arial Narrow" w:hAnsi="Arial Narrow" w:cs="Arial"/>
                <w:bCs/>
                <w:lang w:eastAsia="x-none"/>
              </w:rPr>
              <w:t>23.6</w:t>
            </w:r>
          </w:p>
        </w:tc>
        <w:tc>
          <w:tcPr>
            <w:tcW w:w="335" w:type="pct"/>
            <w:tcBorders>
              <w:top w:val="nil"/>
              <w:left w:val="nil"/>
              <w:bottom w:val="nil"/>
              <w:right w:val="nil"/>
            </w:tcBorders>
          </w:tcPr>
          <w:p w14:paraId="664A813F" w14:textId="77777777" w:rsidR="0022401B" w:rsidRPr="0022401B" w:rsidRDefault="0022401B" w:rsidP="00610B7B">
            <w:pPr>
              <w:spacing w:line="276" w:lineRule="auto"/>
              <w:jc w:val="center"/>
              <w:rPr>
                <w:rFonts w:ascii="Arial Narrow" w:hAnsi="Arial Narrow" w:cs="Arial"/>
                <w:lang w:eastAsia="x-none"/>
              </w:rPr>
            </w:pPr>
            <w:r w:rsidRPr="0022401B">
              <w:rPr>
                <w:rFonts w:ascii="Arial Narrow" w:hAnsi="Arial Narrow" w:cs="Arial"/>
                <w:lang w:eastAsia="x-none"/>
              </w:rPr>
              <w:t>2</w:t>
            </w:r>
          </w:p>
          <w:p w14:paraId="534D29D3" w14:textId="77777777" w:rsidR="0022401B" w:rsidRPr="0022401B" w:rsidRDefault="0022401B" w:rsidP="00610B7B">
            <w:pPr>
              <w:spacing w:line="276" w:lineRule="auto"/>
              <w:jc w:val="center"/>
              <w:rPr>
                <w:rFonts w:ascii="Arial Narrow" w:hAnsi="Arial Narrow" w:cs="Arial"/>
                <w:lang w:eastAsia="x-none"/>
              </w:rPr>
            </w:pPr>
          </w:p>
          <w:p w14:paraId="524A589F" w14:textId="77777777" w:rsidR="0022401B" w:rsidRPr="0022401B" w:rsidRDefault="0022401B" w:rsidP="00610B7B">
            <w:pPr>
              <w:spacing w:line="276" w:lineRule="auto"/>
              <w:ind w:right="-168"/>
              <w:jc w:val="center"/>
              <w:rPr>
                <w:rFonts w:ascii="Arial Narrow" w:hAnsi="Arial Narrow" w:cs="Arial"/>
                <w:lang w:eastAsia="x-none"/>
              </w:rPr>
            </w:pPr>
            <w:r w:rsidRPr="0022401B">
              <w:rPr>
                <w:rFonts w:ascii="Arial Narrow" w:hAnsi="Arial Narrow" w:cs="Arial"/>
                <w:lang w:eastAsia="x-none"/>
              </w:rPr>
              <w:t>13</w:t>
            </w:r>
          </w:p>
        </w:tc>
        <w:tc>
          <w:tcPr>
            <w:tcW w:w="471" w:type="pct"/>
            <w:tcBorders>
              <w:top w:val="nil"/>
              <w:left w:val="nil"/>
              <w:bottom w:val="nil"/>
              <w:right w:val="nil"/>
            </w:tcBorders>
          </w:tcPr>
          <w:p w14:paraId="0936A4DB" w14:textId="77777777" w:rsidR="0022401B" w:rsidRPr="0022401B" w:rsidRDefault="0022401B" w:rsidP="00610B7B">
            <w:pPr>
              <w:spacing w:line="276" w:lineRule="auto"/>
              <w:jc w:val="center"/>
              <w:rPr>
                <w:rFonts w:ascii="Arial Narrow" w:hAnsi="Arial Narrow" w:cs="Arial"/>
                <w:lang w:eastAsia="x-none"/>
              </w:rPr>
            </w:pPr>
            <w:r w:rsidRPr="0022401B">
              <w:rPr>
                <w:rFonts w:ascii="Arial Narrow" w:hAnsi="Arial Narrow" w:cs="Arial"/>
                <w:lang w:eastAsia="x-none"/>
              </w:rPr>
              <w:t>2.2</w:t>
            </w:r>
          </w:p>
          <w:p w14:paraId="105F17EA" w14:textId="77777777" w:rsidR="0022401B" w:rsidRPr="0022401B" w:rsidRDefault="0022401B" w:rsidP="00610B7B">
            <w:pPr>
              <w:spacing w:line="276" w:lineRule="auto"/>
              <w:jc w:val="center"/>
              <w:rPr>
                <w:rFonts w:ascii="Arial Narrow" w:hAnsi="Arial Narrow" w:cs="Arial"/>
                <w:lang w:eastAsia="x-none"/>
              </w:rPr>
            </w:pPr>
          </w:p>
          <w:p w14:paraId="2B2521E2" w14:textId="77777777" w:rsidR="0022401B" w:rsidRPr="0022401B" w:rsidRDefault="0022401B" w:rsidP="00610B7B">
            <w:pPr>
              <w:spacing w:line="276" w:lineRule="auto"/>
              <w:jc w:val="center"/>
              <w:rPr>
                <w:rFonts w:ascii="Arial Narrow" w:hAnsi="Arial Narrow" w:cs="Arial"/>
                <w:lang w:eastAsia="x-none"/>
              </w:rPr>
            </w:pPr>
            <w:r w:rsidRPr="0022401B">
              <w:rPr>
                <w:rFonts w:ascii="Arial Narrow" w:hAnsi="Arial Narrow" w:cs="Arial"/>
                <w:lang w:eastAsia="x-none"/>
              </w:rPr>
              <w:t>14.6</w:t>
            </w:r>
          </w:p>
        </w:tc>
        <w:tc>
          <w:tcPr>
            <w:tcW w:w="279" w:type="pct"/>
            <w:tcBorders>
              <w:top w:val="nil"/>
              <w:left w:val="nil"/>
              <w:bottom w:val="nil"/>
              <w:right w:val="nil"/>
            </w:tcBorders>
          </w:tcPr>
          <w:p w14:paraId="4A91A594"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1</w:t>
            </w:r>
          </w:p>
          <w:p w14:paraId="508A0DBC" w14:textId="77777777" w:rsidR="0022401B" w:rsidRPr="0022401B" w:rsidRDefault="0022401B" w:rsidP="00610B7B">
            <w:pPr>
              <w:spacing w:line="276" w:lineRule="auto"/>
              <w:jc w:val="center"/>
              <w:rPr>
                <w:rFonts w:ascii="Arial Narrow" w:hAnsi="Arial Narrow" w:cs="Arial"/>
              </w:rPr>
            </w:pPr>
          </w:p>
          <w:p w14:paraId="5B3DBF82"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7</w:t>
            </w:r>
          </w:p>
        </w:tc>
        <w:tc>
          <w:tcPr>
            <w:tcW w:w="323" w:type="pct"/>
            <w:tcBorders>
              <w:top w:val="nil"/>
              <w:left w:val="nil"/>
              <w:bottom w:val="nil"/>
              <w:right w:val="nil"/>
            </w:tcBorders>
          </w:tcPr>
          <w:p w14:paraId="6AE8D2BD" w14:textId="77777777" w:rsidR="0022401B" w:rsidRPr="0022401B" w:rsidRDefault="0022401B" w:rsidP="00610B7B">
            <w:pPr>
              <w:spacing w:line="276" w:lineRule="auto"/>
              <w:ind w:right="-87"/>
              <w:jc w:val="center"/>
              <w:rPr>
                <w:rFonts w:ascii="Arial Narrow" w:hAnsi="Arial Narrow" w:cs="Arial"/>
              </w:rPr>
            </w:pPr>
            <w:r w:rsidRPr="0022401B">
              <w:rPr>
                <w:rFonts w:ascii="Arial Narrow" w:hAnsi="Arial Narrow" w:cs="Arial"/>
              </w:rPr>
              <w:t>1.1</w:t>
            </w:r>
          </w:p>
          <w:p w14:paraId="00E987D0" w14:textId="77777777" w:rsidR="0022401B" w:rsidRPr="0022401B" w:rsidRDefault="0022401B" w:rsidP="00610B7B">
            <w:pPr>
              <w:spacing w:line="276" w:lineRule="auto"/>
              <w:jc w:val="center"/>
              <w:rPr>
                <w:rFonts w:ascii="Arial Narrow" w:hAnsi="Arial Narrow" w:cs="Arial"/>
              </w:rPr>
            </w:pPr>
          </w:p>
          <w:p w14:paraId="1A0BE073" w14:textId="77777777" w:rsidR="0022401B" w:rsidRPr="0022401B" w:rsidRDefault="0022401B" w:rsidP="00610B7B">
            <w:pPr>
              <w:spacing w:line="276" w:lineRule="auto"/>
              <w:ind w:right="-229"/>
              <w:rPr>
                <w:rFonts w:ascii="Arial Narrow" w:hAnsi="Arial Narrow" w:cs="Arial"/>
              </w:rPr>
            </w:pPr>
            <w:r w:rsidRPr="0022401B">
              <w:rPr>
                <w:rFonts w:ascii="Arial Narrow" w:hAnsi="Arial Narrow" w:cs="Arial"/>
              </w:rPr>
              <w:t>7.9</w:t>
            </w:r>
          </w:p>
        </w:tc>
        <w:tc>
          <w:tcPr>
            <w:tcW w:w="340" w:type="pct"/>
            <w:tcBorders>
              <w:top w:val="nil"/>
              <w:left w:val="nil"/>
              <w:bottom w:val="nil"/>
              <w:right w:val="nil"/>
            </w:tcBorders>
          </w:tcPr>
          <w:p w14:paraId="54AE63DC" w14:textId="77777777" w:rsidR="0022401B" w:rsidRPr="0022401B" w:rsidRDefault="0022401B" w:rsidP="00610B7B">
            <w:pPr>
              <w:shd w:val="clear" w:color="auto" w:fill="FFFFFF"/>
              <w:spacing w:line="276" w:lineRule="auto"/>
              <w:ind w:right="-168"/>
              <w:jc w:val="center"/>
              <w:rPr>
                <w:rFonts w:ascii="Arial Narrow" w:hAnsi="Arial Narrow" w:cs="Arial"/>
              </w:rPr>
            </w:pPr>
            <w:r w:rsidRPr="0022401B">
              <w:rPr>
                <w:rFonts w:ascii="Arial Narrow" w:hAnsi="Arial Narrow" w:cs="Arial"/>
              </w:rPr>
              <w:t>12</w:t>
            </w:r>
          </w:p>
          <w:p w14:paraId="4139CA39" w14:textId="77777777" w:rsidR="0022401B" w:rsidRPr="0022401B" w:rsidRDefault="0022401B" w:rsidP="00610B7B">
            <w:pPr>
              <w:shd w:val="clear" w:color="auto" w:fill="FFFFFF"/>
              <w:spacing w:line="276" w:lineRule="auto"/>
              <w:jc w:val="center"/>
              <w:rPr>
                <w:rFonts w:ascii="Arial Narrow" w:hAnsi="Arial Narrow" w:cs="Arial"/>
              </w:rPr>
            </w:pPr>
          </w:p>
          <w:p w14:paraId="610FC007" w14:textId="77777777" w:rsidR="0022401B" w:rsidRPr="0022401B" w:rsidRDefault="0022401B" w:rsidP="00610B7B">
            <w:pPr>
              <w:shd w:val="clear" w:color="auto" w:fill="FFFFFF"/>
              <w:spacing w:line="276" w:lineRule="auto"/>
              <w:ind w:right="-168"/>
              <w:jc w:val="center"/>
              <w:rPr>
                <w:rFonts w:ascii="Arial Narrow" w:hAnsi="Arial Narrow" w:cs="Arial"/>
              </w:rPr>
            </w:pPr>
            <w:r w:rsidRPr="0022401B">
              <w:rPr>
                <w:rFonts w:ascii="Arial Narrow" w:hAnsi="Arial Narrow" w:cs="Arial"/>
              </w:rPr>
              <w:t>0</w:t>
            </w:r>
          </w:p>
        </w:tc>
        <w:tc>
          <w:tcPr>
            <w:tcW w:w="468" w:type="pct"/>
            <w:tcBorders>
              <w:top w:val="nil"/>
              <w:left w:val="nil"/>
              <w:bottom w:val="nil"/>
              <w:right w:val="nil"/>
            </w:tcBorders>
          </w:tcPr>
          <w:p w14:paraId="3446A5C9"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13.4</w:t>
            </w:r>
          </w:p>
          <w:p w14:paraId="1552D050" w14:textId="77777777" w:rsidR="0022401B" w:rsidRPr="0022401B" w:rsidRDefault="0022401B" w:rsidP="00610B7B">
            <w:pPr>
              <w:shd w:val="clear" w:color="auto" w:fill="FFFFFF"/>
              <w:spacing w:line="276" w:lineRule="auto"/>
              <w:jc w:val="center"/>
              <w:rPr>
                <w:rFonts w:ascii="Arial Narrow" w:hAnsi="Arial Narrow" w:cs="Arial"/>
              </w:rPr>
            </w:pPr>
          </w:p>
          <w:p w14:paraId="250E3AB2"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0</w:t>
            </w:r>
          </w:p>
        </w:tc>
        <w:tc>
          <w:tcPr>
            <w:tcW w:w="359" w:type="pct"/>
            <w:tcBorders>
              <w:top w:val="nil"/>
              <w:left w:val="nil"/>
              <w:bottom w:val="nil"/>
              <w:right w:val="nil"/>
            </w:tcBorders>
          </w:tcPr>
          <w:p w14:paraId="2DEE89E5"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31</w:t>
            </w:r>
          </w:p>
          <w:p w14:paraId="332CD7C1" w14:textId="77777777" w:rsidR="0022401B" w:rsidRPr="0022401B" w:rsidRDefault="0022401B" w:rsidP="00610B7B">
            <w:pPr>
              <w:shd w:val="clear" w:color="auto" w:fill="FFFFFF"/>
              <w:spacing w:line="276" w:lineRule="auto"/>
              <w:jc w:val="center"/>
              <w:rPr>
                <w:rFonts w:ascii="Arial Narrow" w:hAnsi="Arial Narrow" w:cs="Arial"/>
              </w:rPr>
            </w:pPr>
          </w:p>
          <w:p w14:paraId="5A5DDE7A"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1</w:t>
            </w:r>
          </w:p>
        </w:tc>
        <w:tc>
          <w:tcPr>
            <w:tcW w:w="490" w:type="pct"/>
            <w:tcBorders>
              <w:top w:val="nil"/>
              <w:left w:val="nil"/>
              <w:bottom w:val="nil"/>
              <w:right w:val="nil"/>
            </w:tcBorders>
          </w:tcPr>
          <w:p w14:paraId="5E2CE694"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34.9</w:t>
            </w:r>
          </w:p>
          <w:p w14:paraId="7B96AA0F" w14:textId="77777777" w:rsidR="0022401B" w:rsidRPr="0022401B" w:rsidRDefault="0022401B" w:rsidP="00610B7B">
            <w:pPr>
              <w:shd w:val="clear" w:color="auto" w:fill="FFFFFF"/>
              <w:spacing w:line="276" w:lineRule="auto"/>
              <w:jc w:val="center"/>
              <w:rPr>
                <w:rFonts w:ascii="Arial Narrow" w:hAnsi="Arial Narrow" w:cs="Arial"/>
              </w:rPr>
            </w:pPr>
          </w:p>
          <w:p w14:paraId="5E06E9AC"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1.1</w:t>
            </w:r>
          </w:p>
        </w:tc>
      </w:tr>
      <w:tr w:rsidR="0022401B" w:rsidRPr="0022401B" w14:paraId="0B65C7D6" w14:textId="77777777" w:rsidTr="00610B7B">
        <w:trPr>
          <w:trHeight w:val="20"/>
        </w:trPr>
        <w:tc>
          <w:tcPr>
            <w:tcW w:w="1086" w:type="pct"/>
            <w:tcBorders>
              <w:top w:val="single" w:sz="4" w:space="0" w:color="auto"/>
              <w:left w:val="nil"/>
              <w:bottom w:val="single" w:sz="4" w:space="0" w:color="auto"/>
              <w:right w:val="nil"/>
            </w:tcBorders>
            <w:vAlign w:val="center"/>
            <w:hideMark/>
          </w:tcPr>
          <w:p w14:paraId="7C24A6DA" w14:textId="77777777" w:rsidR="0022401B" w:rsidRPr="0022401B" w:rsidRDefault="0022401B" w:rsidP="00417AA4">
            <w:pPr>
              <w:shd w:val="clear" w:color="auto" w:fill="FFFFFF"/>
              <w:spacing w:line="276" w:lineRule="auto"/>
              <w:ind w:left="250"/>
              <w:rPr>
                <w:rFonts w:ascii="Arial Narrow" w:hAnsi="Arial Narrow" w:cs="Arial"/>
                <w:bCs/>
              </w:rPr>
            </w:pPr>
            <w:r w:rsidRPr="0022401B">
              <w:rPr>
                <w:rFonts w:ascii="Arial Narrow" w:hAnsi="Arial Narrow" w:cs="Arial"/>
                <w:bCs/>
              </w:rPr>
              <w:t>Total</w:t>
            </w:r>
          </w:p>
        </w:tc>
        <w:tc>
          <w:tcPr>
            <w:tcW w:w="360" w:type="pct"/>
            <w:tcBorders>
              <w:top w:val="single" w:sz="4" w:space="0" w:color="auto"/>
              <w:left w:val="nil"/>
              <w:bottom w:val="single" w:sz="4" w:space="0" w:color="auto"/>
              <w:right w:val="nil"/>
            </w:tcBorders>
          </w:tcPr>
          <w:p w14:paraId="2521E4DF" w14:textId="77777777" w:rsidR="0022401B" w:rsidRPr="0022401B" w:rsidRDefault="0022401B" w:rsidP="00610B7B">
            <w:pPr>
              <w:spacing w:line="276" w:lineRule="auto"/>
              <w:contextualSpacing/>
              <w:jc w:val="center"/>
              <w:rPr>
                <w:rFonts w:ascii="Arial Narrow" w:hAnsi="Arial Narrow" w:cs="Arial"/>
                <w:bCs/>
                <w:lang w:eastAsia="x-none"/>
              </w:rPr>
            </w:pPr>
            <w:r w:rsidRPr="0022401B">
              <w:rPr>
                <w:rFonts w:ascii="Arial Narrow" w:hAnsi="Arial Narrow" w:cs="Arial"/>
                <w:bCs/>
                <w:lang w:eastAsia="x-none"/>
              </w:rPr>
              <w:t>22</w:t>
            </w:r>
          </w:p>
        </w:tc>
        <w:tc>
          <w:tcPr>
            <w:tcW w:w="489" w:type="pct"/>
            <w:tcBorders>
              <w:top w:val="single" w:sz="4" w:space="0" w:color="auto"/>
              <w:left w:val="nil"/>
              <w:bottom w:val="single" w:sz="4" w:space="0" w:color="auto"/>
              <w:right w:val="nil"/>
            </w:tcBorders>
          </w:tcPr>
          <w:p w14:paraId="2055F33D" w14:textId="77777777" w:rsidR="0022401B" w:rsidRPr="0022401B" w:rsidRDefault="0022401B" w:rsidP="00610B7B">
            <w:pPr>
              <w:spacing w:line="276" w:lineRule="auto"/>
              <w:contextualSpacing/>
              <w:jc w:val="center"/>
              <w:rPr>
                <w:rFonts w:ascii="Arial Narrow" w:hAnsi="Arial Narrow" w:cs="Arial"/>
                <w:bCs/>
                <w:lang w:eastAsia="x-none"/>
              </w:rPr>
            </w:pPr>
            <w:r w:rsidRPr="0022401B">
              <w:rPr>
                <w:rFonts w:ascii="Arial Narrow" w:hAnsi="Arial Narrow" w:cs="Arial"/>
                <w:bCs/>
                <w:lang w:eastAsia="x-none"/>
              </w:rPr>
              <w:t>24.7</w:t>
            </w:r>
          </w:p>
        </w:tc>
        <w:tc>
          <w:tcPr>
            <w:tcW w:w="335" w:type="pct"/>
            <w:tcBorders>
              <w:top w:val="single" w:sz="4" w:space="0" w:color="auto"/>
              <w:left w:val="nil"/>
              <w:bottom w:val="single" w:sz="4" w:space="0" w:color="auto"/>
              <w:right w:val="nil"/>
            </w:tcBorders>
          </w:tcPr>
          <w:p w14:paraId="1C6135CB" w14:textId="77777777" w:rsidR="0022401B" w:rsidRPr="0022401B" w:rsidRDefault="0022401B" w:rsidP="00610B7B">
            <w:pPr>
              <w:spacing w:line="276" w:lineRule="auto"/>
              <w:contextualSpacing/>
              <w:jc w:val="center"/>
              <w:rPr>
                <w:rFonts w:ascii="Arial Narrow" w:hAnsi="Arial Narrow" w:cs="Arial"/>
                <w:bCs/>
                <w:lang w:eastAsia="x-none"/>
              </w:rPr>
            </w:pPr>
            <w:r w:rsidRPr="0022401B">
              <w:rPr>
                <w:rFonts w:ascii="Arial Narrow" w:hAnsi="Arial Narrow" w:cs="Arial"/>
                <w:bCs/>
                <w:lang w:eastAsia="x-none"/>
              </w:rPr>
              <w:t>15</w:t>
            </w:r>
          </w:p>
        </w:tc>
        <w:tc>
          <w:tcPr>
            <w:tcW w:w="471" w:type="pct"/>
            <w:tcBorders>
              <w:top w:val="single" w:sz="4" w:space="0" w:color="auto"/>
              <w:left w:val="nil"/>
              <w:bottom w:val="single" w:sz="4" w:space="0" w:color="auto"/>
              <w:right w:val="nil"/>
            </w:tcBorders>
          </w:tcPr>
          <w:p w14:paraId="58595CED" w14:textId="77777777" w:rsidR="0022401B" w:rsidRPr="0022401B" w:rsidRDefault="0022401B" w:rsidP="00610B7B">
            <w:pPr>
              <w:spacing w:line="276" w:lineRule="auto"/>
              <w:contextualSpacing/>
              <w:jc w:val="center"/>
              <w:rPr>
                <w:rFonts w:ascii="Arial Narrow" w:hAnsi="Arial Narrow" w:cs="Arial"/>
                <w:bCs/>
                <w:lang w:eastAsia="x-none"/>
              </w:rPr>
            </w:pPr>
            <w:r w:rsidRPr="0022401B">
              <w:rPr>
                <w:rFonts w:ascii="Arial Narrow" w:hAnsi="Arial Narrow" w:cs="Arial"/>
                <w:bCs/>
                <w:lang w:eastAsia="x-none"/>
              </w:rPr>
              <w:t>16.9</w:t>
            </w:r>
          </w:p>
        </w:tc>
        <w:tc>
          <w:tcPr>
            <w:tcW w:w="279" w:type="pct"/>
            <w:tcBorders>
              <w:top w:val="single" w:sz="4" w:space="0" w:color="auto"/>
              <w:left w:val="nil"/>
              <w:bottom w:val="single" w:sz="4" w:space="0" w:color="auto"/>
              <w:right w:val="nil"/>
            </w:tcBorders>
          </w:tcPr>
          <w:p w14:paraId="774EC211"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8</w:t>
            </w:r>
          </w:p>
        </w:tc>
        <w:tc>
          <w:tcPr>
            <w:tcW w:w="323" w:type="pct"/>
            <w:tcBorders>
              <w:top w:val="single" w:sz="4" w:space="0" w:color="auto"/>
              <w:left w:val="nil"/>
              <w:bottom w:val="single" w:sz="4" w:space="0" w:color="auto"/>
              <w:right w:val="nil"/>
            </w:tcBorders>
          </w:tcPr>
          <w:p w14:paraId="2377FB71"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9</w:t>
            </w:r>
          </w:p>
        </w:tc>
        <w:tc>
          <w:tcPr>
            <w:tcW w:w="340" w:type="pct"/>
            <w:tcBorders>
              <w:top w:val="single" w:sz="4" w:space="0" w:color="auto"/>
              <w:left w:val="nil"/>
              <w:bottom w:val="single" w:sz="4" w:space="0" w:color="auto"/>
              <w:right w:val="nil"/>
            </w:tcBorders>
          </w:tcPr>
          <w:p w14:paraId="4CF5DBDE"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12</w:t>
            </w:r>
          </w:p>
        </w:tc>
        <w:tc>
          <w:tcPr>
            <w:tcW w:w="468" w:type="pct"/>
            <w:tcBorders>
              <w:top w:val="single" w:sz="4" w:space="0" w:color="auto"/>
              <w:left w:val="nil"/>
              <w:bottom w:val="single" w:sz="4" w:space="0" w:color="auto"/>
              <w:right w:val="nil"/>
            </w:tcBorders>
          </w:tcPr>
          <w:p w14:paraId="0F00A7DF"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13.4</w:t>
            </w:r>
          </w:p>
        </w:tc>
        <w:tc>
          <w:tcPr>
            <w:tcW w:w="359" w:type="pct"/>
            <w:tcBorders>
              <w:top w:val="single" w:sz="4" w:space="0" w:color="auto"/>
              <w:left w:val="nil"/>
              <w:bottom w:val="single" w:sz="4" w:space="0" w:color="auto"/>
              <w:right w:val="nil"/>
            </w:tcBorders>
          </w:tcPr>
          <w:p w14:paraId="2734CFC9"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32</w:t>
            </w:r>
          </w:p>
        </w:tc>
        <w:tc>
          <w:tcPr>
            <w:tcW w:w="490" w:type="pct"/>
            <w:tcBorders>
              <w:top w:val="single" w:sz="4" w:space="0" w:color="auto"/>
              <w:left w:val="nil"/>
              <w:bottom w:val="single" w:sz="4" w:space="0" w:color="auto"/>
              <w:right w:val="nil"/>
            </w:tcBorders>
          </w:tcPr>
          <w:p w14:paraId="30140738"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36</w:t>
            </w:r>
          </w:p>
        </w:tc>
      </w:tr>
    </w:tbl>
    <w:p w14:paraId="5AB02413" w14:textId="77777777" w:rsidR="0022401B" w:rsidRPr="0022401B" w:rsidRDefault="0022401B" w:rsidP="0022401B">
      <w:pPr>
        <w:spacing w:line="276" w:lineRule="auto"/>
        <w:ind w:left="567"/>
        <w:contextualSpacing/>
        <w:jc w:val="both"/>
        <w:rPr>
          <w:rFonts w:ascii="Arial Narrow" w:hAnsi="Arial Narrow" w:cs="Arial"/>
          <w:lang w:eastAsia="x-none"/>
        </w:rPr>
      </w:pPr>
    </w:p>
    <w:tbl>
      <w:tblPr>
        <w:tblW w:w="5000" w:type="pct"/>
        <w:tblBorders>
          <w:top w:val="single" w:sz="4" w:space="0" w:color="auto"/>
          <w:bottom w:val="single" w:sz="4" w:space="0" w:color="auto"/>
          <w:insideH w:val="single" w:sz="4" w:space="0" w:color="auto"/>
        </w:tblBorders>
        <w:tblLook w:val="05E0" w:firstRow="1" w:lastRow="1" w:firstColumn="1" w:lastColumn="1" w:noHBand="0" w:noVBand="1"/>
      </w:tblPr>
      <w:tblGrid>
        <w:gridCol w:w="3164"/>
        <w:gridCol w:w="1126"/>
        <w:gridCol w:w="1950"/>
        <w:gridCol w:w="2598"/>
      </w:tblGrid>
      <w:tr w:rsidR="0022401B" w:rsidRPr="0022401B" w14:paraId="40170533" w14:textId="77777777" w:rsidTr="00417AA4">
        <w:trPr>
          <w:trHeight w:val="432"/>
          <w:tblHeader/>
        </w:trPr>
        <w:tc>
          <w:tcPr>
            <w:tcW w:w="1790" w:type="pct"/>
            <w:vMerge w:val="restart"/>
            <w:tcBorders>
              <w:top w:val="single" w:sz="4" w:space="0" w:color="auto"/>
              <w:left w:val="nil"/>
              <w:bottom w:val="single" w:sz="4" w:space="0" w:color="auto"/>
              <w:right w:val="nil"/>
            </w:tcBorders>
            <w:vAlign w:val="center"/>
            <w:hideMark/>
          </w:tcPr>
          <w:p w14:paraId="3264C3BF" w14:textId="11912F7A" w:rsidR="0022401B" w:rsidRPr="0022401B" w:rsidRDefault="00417AA4" w:rsidP="00610B7B">
            <w:pPr>
              <w:spacing w:line="276" w:lineRule="auto"/>
              <w:contextualSpacing/>
              <w:jc w:val="center"/>
              <w:rPr>
                <w:rFonts w:ascii="Arial Narrow" w:hAnsi="Arial Narrow" w:cs="Arial"/>
                <w:b/>
                <w:bCs/>
              </w:rPr>
            </w:pPr>
            <w:r w:rsidRPr="00417AA4">
              <w:rPr>
                <w:rFonts w:ascii="Arial Narrow" w:hAnsi="Arial Narrow" w:cs="Arial"/>
                <w:b/>
                <w:bCs/>
              </w:rPr>
              <w:lastRenderedPageBreak/>
              <w:t>Type of Delivery</w:t>
            </w:r>
          </w:p>
        </w:tc>
        <w:tc>
          <w:tcPr>
            <w:tcW w:w="1740" w:type="pct"/>
            <w:gridSpan w:val="2"/>
            <w:vMerge w:val="restart"/>
            <w:tcBorders>
              <w:top w:val="single" w:sz="4" w:space="0" w:color="auto"/>
              <w:left w:val="nil"/>
              <w:right w:val="nil"/>
            </w:tcBorders>
            <w:vAlign w:val="center"/>
          </w:tcPr>
          <w:p w14:paraId="5EB63DDE" w14:textId="77777777" w:rsidR="0022401B" w:rsidRPr="0022401B" w:rsidRDefault="0022401B" w:rsidP="00610B7B">
            <w:pPr>
              <w:shd w:val="clear" w:color="auto" w:fill="FFFFFF"/>
              <w:spacing w:line="276" w:lineRule="auto"/>
              <w:jc w:val="center"/>
              <w:rPr>
                <w:rFonts w:ascii="Arial Narrow" w:hAnsi="Arial Narrow" w:cs="Arial"/>
                <w:b/>
                <w:bCs/>
                <w:i/>
                <w:iCs/>
              </w:rPr>
            </w:pPr>
            <w:r w:rsidRPr="0022401B">
              <w:rPr>
                <w:rFonts w:ascii="Arial Narrow" w:hAnsi="Arial Narrow" w:cs="Arial"/>
                <w:b/>
                <w:bCs/>
              </w:rPr>
              <w:t>Total</w:t>
            </w:r>
          </w:p>
        </w:tc>
        <w:tc>
          <w:tcPr>
            <w:tcW w:w="1470" w:type="pct"/>
            <w:vMerge w:val="restart"/>
            <w:tcBorders>
              <w:top w:val="single" w:sz="4" w:space="0" w:color="auto"/>
              <w:left w:val="nil"/>
              <w:right w:val="nil"/>
            </w:tcBorders>
          </w:tcPr>
          <w:p w14:paraId="1070526E" w14:textId="77777777" w:rsidR="0022401B" w:rsidRPr="0022401B" w:rsidRDefault="0022401B" w:rsidP="00610B7B">
            <w:pPr>
              <w:spacing w:line="276" w:lineRule="auto"/>
              <w:contextualSpacing/>
              <w:jc w:val="center"/>
              <w:rPr>
                <w:rFonts w:ascii="Arial Narrow" w:hAnsi="Arial Narrow" w:cs="Arial"/>
                <w:b/>
                <w:bCs/>
              </w:rPr>
            </w:pPr>
            <w:r w:rsidRPr="0022401B">
              <w:rPr>
                <w:rFonts w:ascii="Arial Narrow" w:hAnsi="Arial Narrow" w:cs="Arial"/>
                <w:b/>
                <w:bCs/>
                <w:i/>
                <w:iCs/>
              </w:rPr>
              <w:t>p value</w:t>
            </w:r>
          </w:p>
        </w:tc>
      </w:tr>
      <w:tr w:rsidR="0022401B" w:rsidRPr="0022401B" w14:paraId="28161812" w14:textId="77777777" w:rsidTr="00417AA4">
        <w:trPr>
          <w:trHeight w:val="432"/>
          <w:tblHeader/>
        </w:trPr>
        <w:tc>
          <w:tcPr>
            <w:tcW w:w="1790" w:type="pct"/>
            <w:vMerge/>
            <w:tcBorders>
              <w:top w:val="single" w:sz="4" w:space="0" w:color="auto"/>
              <w:left w:val="nil"/>
              <w:bottom w:val="single" w:sz="4" w:space="0" w:color="auto"/>
              <w:right w:val="nil"/>
            </w:tcBorders>
            <w:vAlign w:val="center"/>
            <w:hideMark/>
          </w:tcPr>
          <w:p w14:paraId="4E2F5B0E" w14:textId="77777777" w:rsidR="0022401B" w:rsidRPr="0022401B" w:rsidRDefault="0022401B" w:rsidP="00610B7B">
            <w:pPr>
              <w:spacing w:line="276" w:lineRule="auto"/>
              <w:rPr>
                <w:rFonts w:ascii="Arial Narrow" w:hAnsi="Arial Narrow" w:cs="Arial"/>
                <w:bCs/>
              </w:rPr>
            </w:pPr>
          </w:p>
        </w:tc>
        <w:tc>
          <w:tcPr>
            <w:tcW w:w="1740" w:type="pct"/>
            <w:gridSpan w:val="2"/>
            <w:vMerge/>
            <w:tcBorders>
              <w:left w:val="nil"/>
              <w:bottom w:val="single" w:sz="4" w:space="0" w:color="auto"/>
              <w:right w:val="nil"/>
            </w:tcBorders>
            <w:vAlign w:val="center"/>
          </w:tcPr>
          <w:p w14:paraId="09C506A6" w14:textId="77777777" w:rsidR="0022401B" w:rsidRPr="0022401B" w:rsidRDefault="0022401B" w:rsidP="00610B7B">
            <w:pPr>
              <w:spacing w:line="276" w:lineRule="auto"/>
              <w:rPr>
                <w:rFonts w:ascii="Arial Narrow" w:hAnsi="Arial Narrow" w:cs="Arial"/>
                <w:b/>
                <w:bCs/>
              </w:rPr>
            </w:pPr>
          </w:p>
        </w:tc>
        <w:tc>
          <w:tcPr>
            <w:tcW w:w="1470" w:type="pct"/>
            <w:vMerge/>
            <w:tcBorders>
              <w:left w:val="nil"/>
              <w:right w:val="nil"/>
            </w:tcBorders>
          </w:tcPr>
          <w:p w14:paraId="669CCA9F" w14:textId="77777777" w:rsidR="0022401B" w:rsidRPr="0022401B" w:rsidRDefault="0022401B" w:rsidP="00610B7B">
            <w:pPr>
              <w:spacing w:line="276" w:lineRule="auto"/>
              <w:rPr>
                <w:rFonts w:ascii="Arial Narrow" w:hAnsi="Arial Narrow" w:cs="Arial"/>
                <w:bCs/>
              </w:rPr>
            </w:pPr>
          </w:p>
        </w:tc>
      </w:tr>
      <w:tr w:rsidR="00417AA4" w:rsidRPr="0022401B" w14:paraId="339CBAA8" w14:textId="77777777" w:rsidTr="00417AA4">
        <w:trPr>
          <w:trHeight w:val="205"/>
          <w:tblHeader/>
        </w:trPr>
        <w:tc>
          <w:tcPr>
            <w:tcW w:w="1790" w:type="pct"/>
            <w:vMerge/>
            <w:tcBorders>
              <w:top w:val="single" w:sz="4" w:space="0" w:color="auto"/>
              <w:left w:val="nil"/>
              <w:bottom w:val="single" w:sz="4" w:space="0" w:color="auto"/>
              <w:right w:val="nil"/>
            </w:tcBorders>
            <w:vAlign w:val="center"/>
            <w:hideMark/>
          </w:tcPr>
          <w:p w14:paraId="72A62A00" w14:textId="77777777" w:rsidR="0022401B" w:rsidRPr="0022401B" w:rsidRDefault="0022401B" w:rsidP="00610B7B">
            <w:pPr>
              <w:spacing w:line="276" w:lineRule="auto"/>
              <w:rPr>
                <w:rFonts w:ascii="Arial Narrow" w:hAnsi="Arial Narrow" w:cs="Arial"/>
                <w:bCs/>
              </w:rPr>
            </w:pPr>
          </w:p>
        </w:tc>
        <w:tc>
          <w:tcPr>
            <w:tcW w:w="637" w:type="pct"/>
            <w:tcBorders>
              <w:top w:val="single" w:sz="4" w:space="0" w:color="auto"/>
              <w:left w:val="nil"/>
              <w:bottom w:val="single" w:sz="4" w:space="0" w:color="auto"/>
              <w:right w:val="nil"/>
            </w:tcBorders>
            <w:vAlign w:val="center"/>
          </w:tcPr>
          <w:p w14:paraId="6BA63C6E"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f</w:t>
            </w:r>
          </w:p>
        </w:tc>
        <w:tc>
          <w:tcPr>
            <w:tcW w:w="1103" w:type="pct"/>
            <w:tcBorders>
              <w:top w:val="single" w:sz="4" w:space="0" w:color="auto"/>
              <w:left w:val="nil"/>
              <w:bottom w:val="single" w:sz="4" w:space="0" w:color="auto"/>
              <w:right w:val="nil"/>
            </w:tcBorders>
            <w:vAlign w:val="center"/>
          </w:tcPr>
          <w:p w14:paraId="636940AB" w14:textId="77777777" w:rsidR="0022401B" w:rsidRPr="0022401B" w:rsidRDefault="0022401B" w:rsidP="00610B7B">
            <w:pPr>
              <w:shd w:val="clear" w:color="auto" w:fill="FFFFFF"/>
              <w:spacing w:line="276" w:lineRule="auto"/>
              <w:jc w:val="center"/>
              <w:rPr>
                <w:rFonts w:ascii="Arial Narrow" w:hAnsi="Arial Narrow" w:cs="Arial"/>
                <w:b/>
              </w:rPr>
            </w:pPr>
            <w:r w:rsidRPr="0022401B">
              <w:rPr>
                <w:rFonts w:ascii="Arial Narrow" w:hAnsi="Arial Narrow" w:cs="Arial"/>
                <w:b/>
              </w:rPr>
              <w:t>%</w:t>
            </w:r>
          </w:p>
        </w:tc>
        <w:tc>
          <w:tcPr>
            <w:tcW w:w="1470" w:type="pct"/>
            <w:vMerge/>
            <w:tcBorders>
              <w:left w:val="nil"/>
              <w:bottom w:val="single" w:sz="4" w:space="0" w:color="auto"/>
              <w:right w:val="nil"/>
            </w:tcBorders>
          </w:tcPr>
          <w:p w14:paraId="57E2D1F0" w14:textId="77777777" w:rsidR="0022401B" w:rsidRPr="0022401B" w:rsidRDefault="0022401B" w:rsidP="00610B7B">
            <w:pPr>
              <w:shd w:val="clear" w:color="auto" w:fill="FFFFFF"/>
              <w:spacing w:line="276" w:lineRule="auto"/>
              <w:jc w:val="center"/>
              <w:rPr>
                <w:rFonts w:ascii="Arial Narrow" w:hAnsi="Arial Narrow" w:cs="Arial"/>
                <w:b/>
              </w:rPr>
            </w:pPr>
          </w:p>
        </w:tc>
      </w:tr>
      <w:tr w:rsidR="00417AA4" w:rsidRPr="0022401B" w14:paraId="636554B3" w14:textId="77777777" w:rsidTr="00417AA4">
        <w:trPr>
          <w:trHeight w:val="20"/>
        </w:trPr>
        <w:tc>
          <w:tcPr>
            <w:tcW w:w="1790" w:type="pct"/>
            <w:tcBorders>
              <w:top w:val="nil"/>
              <w:left w:val="nil"/>
              <w:bottom w:val="nil"/>
              <w:right w:val="nil"/>
            </w:tcBorders>
          </w:tcPr>
          <w:p w14:paraId="1C094E4B" w14:textId="2258C82A" w:rsidR="0022401B" w:rsidRPr="0022401B" w:rsidRDefault="00417AA4" w:rsidP="00610B7B">
            <w:pPr>
              <w:shd w:val="clear" w:color="auto" w:fill="FFFFFF"/>
              <w:spacing w:line="276" w:lineRule="auto"/>
              <w:ind w:left="312"/>
              <w:jc w:val="both"/>
              <w:rPr>
                <w:rFonts w:ascii="Arial Narrow" w:hAnsi="Arial Narrow" w:cs="Arial"/>
                <w:bCs/>
              </w:rPr>
            </w:pPr>
            <w:r w:rsidRPr="00417AA4">
              <w:rPr>
                <w:rFonts w:ascii="Arial Narrow" w:hAnsi="Arial Narrow" w:cs="Arial"/>
              </w:rPr>
              <w:t>Pathological</w:t>
            </w:r>
          </w:p>
          <w:p w14:paraId="2C0D509D" w14:textId="77777777" w:rsidR="0022401B" w:rsidRPr="0022401B" w:rsidRDefault="0022401B" w:rsidP="00610B7B">
            <w:pPr>
              <w:shd w:val="clear" w:color="auto" w:fill="FFFFFF"/>
              <w:spacing w:line="276" w:lineRule="auto"/>
              <w:ind w:left="312"/>
              <w:jc w:val="both"/>
              <w:rPr>
                <w:rFonts w:ascii="Arial Narrow" w:hAnsi="Arial Narrow" w:cs="Arial"/>
                <w:bCs/>
              </w:rPr>
            </w:pPr>
            <w:r w:rsidRPr="0022401B">
              <w:rPr>
                <w:rFonts w:ascii="Arial Narrow" w:hAnsi="Arial Narrow" w:cs="Arial"/>
              </w:rPr>
              <w:t>Normal</w:t>
            </w:r>
          </w:p>
        </w:tc>
        <w:tc>
          <w:tcPr>
            <w:tcW w:w="637" w:type="pct"/>
            <w:tcBorders>
              <w:top w:val="nil"/>
              <w:left w:val="nil"/>
              <w:bottom w:val="nil"/>
              <w:right w:val="nil"/>
            </w:tcBorders>
          </w:tcPr>
          <w:p w14:paraId="15DA67D0"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47</w:t>
            </w:r>
          </w:p>
          <w:p w14:paraId="76CD42B1"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42</w:t>
            </w:r>
          </w:p>
        </w:tc>
        <w:tc>
          <w:tcPr>
            <w:tcW w:w="1103" w:type="pct"/>
            <w:tcBorders>
              <w:top w:val="nil"/>
              <w:left w:val="nil"/>
              <w:bottom w:val="nil"/>
              <w:right w:val="nil"/>
            </w:tcBorders>
          </w:tcPr>
          <w:p w14:paraId="3B847FFB"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52.8</w:t>
            </w:r>
          </w:p>
          <w:p w14:paraId="652E8770" w14:textId="77777777" w:rsidR="0022401B" w:rsidRPr="0022401B" w:rsidRDefault="0022401B" w:rsidP="00610B7B">
            <w:pPr>
              <w:spacing w:line="276" w:lineRule="auto"/>
              <w:jc w:val="center"/>
              <w:rPr>
                <w:rFonts w:ascii="Arial Narrow" w:hAnsi="Arial Narrow" w:cs="Arial"/>
              </w:rPr>
            </w:pPr>
            <w:r w:rsidRPr="0022401B">
              <w:rPr>
                <w:rFonts w:ascii="Arial Narrow" w:hAnsi="Arial Narrow" w:cs="Arial"/>
              </w:rPr>
              <w:t>47.2</w:t>
            </w:r>
          </w:p>
        </w:tc>
        <w:tc>
          <w:tcPr>
            <w:tcW w:w="1470" w:type="pct"/>
            <w:tcBorders>
              <w:top w:val="nil"/>
              <w:left w:val="nil"/>
              <w:bottom w:val="nil"/>
              <w:right w:val="nil"/>
            </w:tcBorders>
            <w:vAlign w:val="center"/>
          </w:tcPr>
          <w:p w14:paraId="450EC9ED" w14:textId="77777777" w:rsidR="0022401B" w:rsidRPr="0022401B" w:rsidRDefault="0022401B" w:rsidP="00610B7B">
            <w:pPr>
              <w:shd w:val="clear" w:color="auto" w:fill="FFFFFF"/>
              <w:spacing w:line="276" w:lineRule="auto"/>
              <w:jc w:val="center"/>
              <w:rPr>
                <w:rFonts w:ascii="Arial Narrow" w:hAnsi="Arial Narrow" w:cs="Arial"/>
              </w:rPr>
            </w:pPr>
            <w:r w:rsidRPr="0022401B">
              <w:rPr>
                <w:rFonts w:ascii="Arial Narrow" w:hAnsi="Arial Narrow" w:cs="Arial"/>
              </w:rPr>
              <w:t>0.0001</w:t>
            </w:r>
          </w:p>
        </w:tc>
      </w:tr>
      <w:tr w:rsidR="00417AA4" w:rsidRPr="0022401B" w14:paraId="4A1B24F8" w14:textId="77777777" w:rsidTr="00417AA4">
        <w:trPr>
          <w:trHeight w:val="20"/>
        </w:trPr>
        <w:tc>
          <w:tcPr>
            <w:tcW w:w="1790" w:type="pct"/>
            <w:tcBorders>
              <w:top w:val="single" w:sz="4" w:space="0" w:color="auto"/>
              <w:left w:val="nil"/>
              <w:bottom w:val="single" w:sz="4" w:space="0" w:color="auto"/>
              <w:right w:val="nil"/>
            </w:tcBorders>
            <w:vAlign w:val="center"/>
            <w:hideMark/>
          </w:tcPr>
          <w:p w14:paraId="416F3B6E"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Total</w:t>
            </w:r>
          </w:p>
        </w:tc>
        <w:tc>
          <w:tcPr>
            <w:tcW w:w="637" w:type="pct"/>
            <w:tcBorders>
              <w:top w:val="single" w:sz="4" w:space="0" w:color="auto"/>
              <w:left w:val="nil"/>
              <w:bottom w:val="single" w:sz="4" w:space="0" w:color="auto"/>
              <w:right w:val="nil"/>
            </w:tcBorders>
          </w:tcPr>
          <w:p w14:paraId="6347D415"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89</w:t>
            </w:r>
          </w:p>
        </w:tc>
        <w:tc>
          <w:tcPr>
            <w:tcW w:w="1103" w:type="pct"/>
            <w:tcBorders>
              <w:top w:val="single" w:sz="4" w:space="0" w:color="auto"/>
              <w:left w:val="nil"/>
              <w:bottom w:val="single" w:sz="4" w:space="0" w:color="auto"/>
              <w:right w:val="nil"/>
            </w:tcBorders>
          </w:tcPr>
          <w:p w14:paraId="55A023C3"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bCs/>
              </w:rPr>
              <w:t>100</w:t>
            </w:r>
          </w:p>
        </w:tc>
        <w:tc>
          <w:tcPr>
            <w:tcW w:w="1470" w:type="pct"/>
            <w:tcBorders>
              <w:top w:val="single" w:sz="4" w:space="0" w:color="auto"/>
              <w:left w:val="nil"/>
              <w:bottom w:val="single" w:sz="4" w:space="0" w:color="auto"/>
              <w:right w:val="nil"/>
            </w:tcBorders>
          </w:tcPr>
          <w:p w14:paraId="7B88CC86" w14:textId="77777777" w:rsidR="0022401B" w:rsidRPr="0022401B" w:rsidRDefault="0022401B" w:rsidP="00610B7B">
            <w:pPr>
              <w:shd w:val="clear" w:color="auto" w:fill="FFFFFF"/>
              <w:spacing w:line="276" w:lineRule="auto"/>
              <w:jc w:val="center"/>
              <w:rPr>
                <w:rFonts w:ascii="Arial Narrow" w:hAnsi="Arial Narrow" w:cs="Arial"/>
                <w:bCs/>
              </w:rPr>
            </w:pPr>
            <w:r w:rsidRPr="0022401B">
              <w:rPr>
                <w:rFonts w:ascii="Arial Narrow" w:hAnsi="Arial Narrow" w:cs="Arial"/>
                <w:lang w:val="sv-SE"/>
              </w:rPr>
              <w:t>λ</w:t>
            </w:r>
            <w:r w:rsidRPr="0022401B">
              <w:rPr>
                <w:rFonts w:ascii="Arial Narrow" w:hAnsi="Arial Narrow" w:cs="Arial"/>
                <w:bCs/>
              </w:rPr>
              <w:t>: 0.576</w:t>
            </w:r>
          </w:p>
        </w:tc>
      </w:tr>
    </w:tbl>
    <w:p w14:paraId="0E661457" w14:textId="77777777" w:rsidR="0022401B" w:rsidRPr="0022401B" w:rsidRDefault="0022401B" w:rsidP="0022401B">
      <w:pPr>
        <w:spacing w:line="276" w:lineRule="auto"/>
        <w:ind w:left="567"/>
        <w:contextualSpacing/>
        <w:jc w:val="both"/>
        <w:rPr>
          <w:rFonts w:ascii="Arial Narrow" w:hAnsi="Arial Narrow" w:cs="Arial"/>
          <w:lang w:eastAsia="x-none"/>
        </w:rPr>
      </w:pPr>
    </w:p>
    <w:p w14:paraId="7D2703B3" w14:textId="42047DF7" w:rsidR="0022401B" w:rsidRPr="0022401B" w:rsidRDefault="00417AA4" w:rsidP="0022401B">
      <w:pPr>
        <w:spacing w:line="276" w:lineRule="auto"/>
        <w:ind w:left="567" w:firstLine="567"/>
        <w:contextualSpacing/>
        <w:jc w:val="both"/>
        <w:rPr>
          <w:rFonts w:ascii="Arial Narrow" w:hAnsi="Arial Narrow" w:cs="Arial"/>
          <w:lang w:eastAsia="x-none"/>
        </w:rPr>
      </w:pPr>
      <w:r w:rsidRPr="00417AA4">
        <w:rPr>
          <w:rFonts w:ascii="Arial Narrow" w:hAnsi="Arial Narrow" w:cs="Arial"/>
          <w:lang w:eastAsia="x-none"/>
        </w:rPr>
        <w:t xml:space="preserve">Table 3 shows that respondents with pathological labor mostly had </w:t>
      </w:r>
      <w:proofErr w:type="spellStart"/>
      <w:r w:rsidRPr="00417AA4">
        <w:rPr>
          <w:rFonts w:ascii="Arial Narrow" w:hAnsi="Arial Narrow" w:cs="Arial"/>
          <w:lang w:eastAsia="x-none"/>
        </w:rPr>
        <w:t>hyperbilirubinema</w:t>
      </w:r>
      <w:proofErr w:type="spellEnd"/>
      <w:r w:rsidRPr="00417AA4">
        <w:rPr>
          <w:rFonts w:ascii="Arial Narrow" w:hAnsi="Arial Narrow" w:cs="Arial"/>
          <w:lang w:eastAsia="x-none"/>
        </w:rPr>
        <w:t xml:space="preserve"> in the grade V category, 31 respondents (34.9%) and respondents with normal labor mostly had </w:t>
      </w:r>
      <w:proofErr w:type="spellStart"/>
      <w:r w:rsidRPr="00417AA4">
        <w:rPr>
          <w:rFonts w:ascii="Arial Narrow" w:hAnsi="Arial Narrow" w:cs="Arial"/>
          <w:lang w:eastAsia="x-none"/>
        </w:rPr>
        <w:t>hyperbilirubinema</w:t>
      </w:r>
      <w:proofErr w:type="spellEnd"/>
      <w:r w:rsidRPr="00417AA4">
        <w:rPr>
          <w:rFonts w:ascii="Arial Narrow" w:hAnsi="Arial Narrow" w:cs="Arial"/>
          <w:lang w:eastAsia="x-none"/>
        </w:rPr>
        <w:t xml:space="preserve"> in the grade I category, 21 respondents (23.6%). From the results of the analysis, it was found that the lambda correlation value (λ) was 0.576, which means that the level of correlation between the type of delivery and the incidence of hyperbilirubinemia was moderate, while the chi square test results obtained a p-value of 0.0001 (p-value &lt; α) which means there is a significant relationship. between the type of delivery and the incidence of hyperbilirubinemia in newborns</w:t>
      </w:r>
    </w:p>
    <w:p w14:paraId="1E802A09" w14:textId="77777777" w:rsidR="00A961D1"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 xml:space="preserve">The research results showed that the majority of respondents had a pathological type of delivery (VE, forceps, SC) as many as 47 respondents (52.8%) (table 4.1). These results indicate that surgical delivery is the mother's choice for giving birth. The most frequently performed delivery is SC delivery. This can happen because the data used is 2021 data, which at that time was still during the Covid-19 pandemic. Research by </w:t>
      </w:r>
      <w:proofErr w:type="spellStart"/>
      <w:r w:rsidRPr="00417AA4">
        <w:rPr>
          <w:rFonts w:ascii="Arial Narrow" w:eastAsia="Times New Roman" w:hAnsi="Arial Narrow" w:cs="Arial"/>
          <w:color w:val="000000"/>
          <w:lang w:eastAsia="id-ID"/>
        </w:rPr>
        <w:t>Risnawati</w:t>
      </w:r>
      <w:proofErr w:type="spellEnd"/>
      <w:r w:rsidRPr="00417AA4">
        <w:rPr>
          <w:rFonts w:ascii="Arial Narrow" w:eastAsia="Times New Roman" w:hAnsi="Arial Narrow" w:cs="Arial"/>
          <w:color w:val="000000"/>
          <w:lang w:eastAsia="id-ID"/>
        </w:rPr>
        <w:t xml:space="preserve"> et al., (2021) shows that the majority of birth types during the Covid-19 pandemic were SC deliveries (64%).</w:t>
      </w:r>
    </w:p>
    <w:p w14:paraId="0F81E9FC" w14:textId="7D9D818E" w:rsidR="00417AA4" w:rsidRPr="00417AA4"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The choice of delivery method must also consider the availability of resources, facilities at the hospital (including the availability of a negative pressure operating room), the layout of the hospital treatment room, the availability of personal protective equipment, performance capabilities, human resources, and the risk of exposure to medical personnel and other patients. (POGI, 2020).</w:t>
      </w:r>
    </w:p>
    <w:p w14:paraId="05FA156F" w14:textId="77777777" w:rsidR="00417AA4" w:rsidRPr="00417AA4"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 xml:space="preserve">The type of birth in the results of this study is the desire of the birthing mother and family. This is in accordance with the literature review conducted by </w:t>
      </w:r>
      <w:proofErr w:type="spellStart"/>
      <w:r w:rsidRPr="00417AA4">
        <w:rPr>
          <w:rFonts w:ascii="Arial Narrow" w:eastAsia="Times New Roman" w:hAnsi="Arial Narrow" w:cs="Arial"/>
          <w:color w:val="000000"/>
          <w:lang w:eastAsia="id-ID"/>
        </w:rPr>
        <w:t>Christanto</w:t>
      </w:r>
      <w:proofErr w:type="spellEnd"/>
      <w:r w:rsidRPr="00417AA4">
        <w:rPr>
          <w:rFonts w:ascii="Arial Narrow" w:eastAsia="Times New Roman" w:hAnsi="Arial Narrow" w:cs="Arial"/>
          <w:color w:val="000000"/>
          <w:lang w:eastAsia="id-ID"/>
        </w:rPr>
        <w:t xml:space="preserve"> (2020) which states that until now there has been no strong clinical evidence that recommends one method of delivery so that delivery is carried out based on obstetric indications taking into account the wishes of the mother and family, except for mothers with respiratory problems who require immediate delivery in the form of SC, or vaginal surgery.</w:t>
      </w:r>
    </w:p>
    <w:p w14:paraId="76FDB19A" w14:textId="77777777" w:rsidR="00A961D1"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The type of delivery in this study is related to the respondent's gestational age. Gestational age is one of the important things that must be considered in the decision to terminate a pregnancy, because it is related to the fetus's ability to survive outside the uterus (</w:t>
      </w:r>
      <w:proofErr w:type="spellStart"/>
      <w:r w:rsidRPr="00417AA4">
        <w:rPr>
          <w:rFonts w:ascii="Arial Narrow" w:eastAsia="Times New Roman" w:hAnsi="Arial Narrow" w:cs="Arial"/>
          <w:color w:val="000000"/>
          <w:lang w:eastAsia="id-ID"/>
        </w:rPr>
        <w:t>Soewarto</w:t>
      </w:r>
      <w:proofErr w:type="spellEnd"/>
      <w:r w:rsidRPr="00417AA4">
        <w:rPr>
          <w:rFonts w:ascii="Arial Narrow" w:eastAsia="Times New Roman" w:hAnsi="Arial Narrow" w:cs="Arial"/>
          <w:color w:val="000000"/>
          <w:lang w:eastAsia="id-ID"/>
        </w:rPr>
        <w:t xml:space="preserve">, 2016). The results of this study are in line with research conducted by </w:t>
      </w:r>
      <w:proofErr w:type="spellStart"/>
      <w:r w:rsidRPr="00417AA4">
        <w:rPr>
          <w:rFonts w:ascii="Arial Narrow" w:eastAsia="Times New Roman" w:hAnsi="Arial Narrow" w:cs="Arial"/>
          <w:color w:val="000000"/>
          <w:lang w:eastAsia="id-ID"/>
        </w:rPr>
        <w:t>Yaeni</w:t>
      </w:r>
      <w:proofErr w:type="spellEnd"/>
      <w:r w:rsidRPr="00417AA4">
        <w:rPr>
          <w:rFonts w:ascii="Arial Narrow" w:eastAsia="Times New Roman" w:hAnsi="Arial Narrow" w:cs="Arial"/>
          <w:color w:val="000000"/>
          <w:lang w:eastAsia="id-ID"/>
        </w:rPr>
        <w:t xml:space="preserve"> (2013) which found that 95% of the gestational ages at the time of the CS procedure were term pregnancies, whereas for some respondents, delivery was carried out at preterm gestational age, which is related to the indication for emergency Sectio Caesarea. to save the lives of the mother and fetus.</w:t>
      </w:r>
    </w:p>
    <w:p w14:paraId="18AAE5E0" w14:textId="2977E0F4" w:rsidR="00417AA4" w:rsidRPr="00417AA4"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lastRenderedPageBreak/>
        <w:t xml:space="preserve">The research results showed that the majority of respondents had hyperbilirubinemia in the grade V category, 32 respondents (36%) (table 4.2). Hyperbilirubinemia is one of the infectious complications in babies born throughout the world which can cause IMR to reach 23.1% (Lawn et al., 2019). Hyperbilirubinemia in newborns can be a physiological symptom or it can be pathological. The pathological effects on each baby are different, this can be caused by high serum bilirubin levels of &gt;5mg/dL in the blood (Johan &amp; </w:t>
      </w:r>
      <w:proofErr w:type="spellStart"/>
      <w:r w:rsidRPr="00417AA4">
        <w:rPr>
          <w:rFonts w:ascii="Arial Narrow" w:eastAsia="Times New Roman" w:hAnsi="Arial Narrow" w:cs="Arial"/>
          <w:color w:val="000000"/>
          <w:lang w:eastAsia="id-ID"/>
        </w:rPr>
        <w:t>Noorbaya</w:t>
      </w:r>
      <w:proofErr w:type="spellEnd"/>
      <w:r w:rsidRPr="00417AA4">
        <w:rPr>
          <w:rFonts w:ascii="Arial Narrow" w:eastAsia="Times New Roman" w:hAnsi="Arial Narrow" w:cs="Arial"/>
          <w:color w:val="000000"/>
          <w:lang w:eastAsia="id-ID"/>
        </w:rPr>
        <w:t xml:space="preserve">, 2019). Waluyo's research (2016) showed that the incidence of hyperbilirubinemia in babies at </w:t>
      </w:r>
      <w:proofErr w:type="spellStart"/>
      <w:r w:rsidRPr="00417AA4">
        <w:rPr>
          <w:rFonts w:ascii="Arial Narrow" w:eastAsia="Times New Roman" w:hAnsi="Arial Narrow" w:cs="Arial"/>
          <w:color w:val="000000"/>
          <w:lang w:eastAsia="id-ID"/>
        </w:rPr>
        <w:t>Banyumas</w:t>
      </w:r>
      <w:proofErr w:type="spellEnd"/>
      <w:r w:rsidRPr="00417AA4">
        <w:rPr>
          <w:rFonts w:ascii="Arial Narrow" w:eastAsia="Times New Roman" w:hAnsi="Arial Narrow" w:cs="Arial"/>
          <w:color w:val="000000"/>
          <w:lang w:eastAsia="id-ID"/>
        </w:rPr>
        <w:t xml:space="preserve"> District Hospital reached 31%.</w:t>
      </w:r>
    </w:p>
    <w:p w14:paraId="6F41911F" w14:textId="77777777" w:rsidR="00417AA4" w:rsidRPr="00417AA4"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 xml:space="preserve">Bilirubin in newborns increases due to damage to red blood cells. Bilirubin will increase normally after 24 hours and reach its peak in 3-5 days, this will gradually decrease to near normal values within a few weeks (Maternity et al., 2018). According to </w:t>
      </w:r>
      <w:proofErr w:type="spellStart"/>
      <w:r w:rsidRPr="00417AA4">
        <w:rPr>
          <w:rFonts w:ascii="Arial Narrow" w:eastAsia="Times New Roman" w:hAnsi="Arial Narrow" w:cs="Arial"/>
          <w:color w:val="000000"/>
          <w:lang w:eastAsia="id-ID"/>
        </w:rPr>
        <w:t>Maryunani</w:t>
      </w:r>
      <w:proofErr w:type="spellEnd"/>
      <w:r w:rsidRPr="00417AA4">
        <w:rPr>
          <w:rFonts w:ascii="Arial Narrow" w:eastAsia="Times New Roman" w:hAnsi="Arial Narrow" w:cs="Arial"/>
          <w:color w:val="000000"/>
          <w:lang w:eastAsia="id-ID"/>
        </w:rPr>
        <w:t xml:space="preserve"> &amp; Sari (2013), hyperbilirubinemia in newborn babies mostly occurs because the liver function is not yet perfect in removing bilirubin from the bloodstream.</w:t>
      </w:r>
    </w:p>
    <w:p w14:paraId="41694ECB" w14:textId="77777777" w:rsidR="00417AA4" w:rsidRPr="00417AA4"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Bilirubin levels are a waste product of metabolism that occurs in the liver. If conjugated bilirubin levels are reabsorbed, they will deposit in the body and become a condition of hyperbilirubinemia (Moncrieff, 2018). Bilirubin levels that continue to increase and remain in the body for too long can cause kernicterus or brain damage caused by the adhesion of bilirubin to the surrounding brain, especially in the corpus striatum, thalamus, subthalamic nucleus, hippocampus, red nucleus, and nucleus at the base of the ventricle (</w:t>
      </w:r>
      <w:proofErr w:type="gramStart"/>
      <w:r w:rsidRPr="00417AA4">
        <w:rPr>
          <w:rFonts w:ascii="Arial Narrow" w:eastAsia="Times New Roman" w:hAnsi="Arial Narrow" w:cs="Arial"/>
          <w:color w:val="000000"/>
          <w:lang w:eastAsia="id-ID"/>
        </w:rPr>
        <w:t>Dewi ,</w:t>
      </w:r>
      <w:proofErr w:type="gramEnd"/>
      <w:r w:rsidRPr="00417AA4">
        <w:rPr>
          <w:rFonts w:ascii="Arial Narrow" w:eastAsia="Times New Roman" w:hAnsi="Arial Narrow" w:cs="Arial"/>
          <w:color w:val="000000"/>
          <w:lang w:eastAsia="id-ID"/>
        </w:rPr>
        <w:t xml:space="preserve"> 2016). If it is not treated immediately, it will have an impact on the baby's condition, namely experiencing speech problems and hearing problems (</w:t>
      </w:r>
      <w:proofErr w:type="spellStart"/>
      <w:r w:rsidRPr="00417AA4">
        <w:rPr>
          <w:rFonts w:ascii="Arial Narrow" w:eastAsia="Times New Roman" w:hAnsi="Arial Narrow" w:cs="Arial"/>
          <w:color w:val="000000"/>
          <w:lang w:eastAsia="id-ID"/>
        </w:rPr>
        <w:t>Mulyati</w:t>
      </w:r>
      <w:proofErr w:type="spellEnd"/>
      <w:r w:rsidRPr="00417AA4">
        <w:rPr>
          <w:rFonts w:ascii="Arial Narrow" w:eastAsia="Times New Roman" w:hAnsi="Arial Narrow" w:cs="Arial"/>
          <w:color w:val="000000"/>
          <w:lang w:eastAsia="id-ID"/>
        </w:rPr>
        <w:t>, 2019).</w:t>
      </w:r>
    </w:p>
    <w:p w14:paraId="64EE948B" w14:textId="5657A21D" w:rsidR="0022401B" w:rsidRPr="0022401B" w:rsidRDefault="00417AA4" w:rsidP="00417AA4">
      <w:pPr>
        <w:autoSpaceDE w:val="0"/>
        <w:autoSpaceDN w:val="0"/>
        <w:adjustRightInd w:val="0"/>
        <w:spacing w:line="276" w:lineRule="auto"/>
        <w:ind w:left="567" w:firstLine="567"/>
        <w:jc w:val="both"/>
        <w:rPr>
          <w:rFonts w:ascii="Arial Narrow" w:eastAsia="Times New Roman" w:hAnsi="Arial Narrow" w:cs="Arial"/>
          <w:color w:val="000000"/>
          <w:lang w:eastAsia="id-ID"/>
        </w:rPr>
      </w:pPr>
      <w:r w:rsidRPr="00417AA4">
        <w:rPr>
          <w:rFonts w:ascii="Arial Narrow" w:eastAsia="Times New Roman" w:hAnsi="Arial Narrow" w:cs="Arial"/>
          <w:color w:val="000000"/>
          <w:lang w:eastAsia="id-ID"/>
        </w:rPr>
        <w:t>The most severe impact of hyperbilirubinemia in babies if it is not treated quickly is bilirubin encephalopathy which can lead to kernicterus and brain damage. Hyperbilirubinemia can also cause sequelae in the form of cerebral palsy, paralysis and dental dysplasia which greatly affect the baby's quality of life. Apart from that, it can also cause seizures, deafness, speech disorders, mental retardation, and can even have an impact on infant death (</w:t>
      </w:r>
      <w:proofErr w:type="spellStart"/>
      <w:r w:rsidRPr="00417AA4">
        <w:rPr>
          <w:rFonts w:ascii="Arial Narrow" w:eastAsia="Times New Roman" w:hAnsi="Arial Narrow" w:cs="Arial"/>
          <w:color w:val="000000"/>
          <w:lang w:eastAsia="id-ID"/>
        </w:rPr>
        <w:t>Heriyanti</w:t>
      </w:r>
      <w:proofErr w:type="spellEnd"/>
      <w:r w:rsidRPr="00417AA4">
        <w:rPr>
          <w:rFonts w:ascii="Arial Narrow" w:eastAsia="Times New Roman" w:hAnsi="Arial Narrow" w:cs="Arial"/>
          <w:color w:val="000000"/>
          <w:lang w:eastAsia="id-ID"/>
        </w:rPr>
        <w:t xml:space="preserve"> et al., 2020).</w:t>
      </w:r>
      <w:r w:rsidR="00A961D1">
        <w:rPr>
          <w:rFonts w:ascii="Arial Narrow" w:eastAsia="Times New Roman" w:hAnsi="Arial Narrow" w:cs="Arial"/>
          <w:color w:val="000000"/>
          <w:lang w:eastAsia="id-ID"/>
        </w:rPr>
        <w:t xml:space="preserve"> </w:t>
      </w:r>
      <w:r w:rsidRPr="00417AA4">
        <w:rPr>
          <w:rFonts w:ascii="Arial Narrow" w:eastAsia="Times New Roman" w:hAnsi="Arial Narrow" w:cs="Arial"/>
          <w:color w:val="000000"/>
          <w:lang w:eastAsia="id-ID"/>
        </w:rPr>
        <w:t xml:space="preserve">The relationship between type of delivery and the incidence of hyperbilirubinemia in newborns at RSIA Bunda Arif </w:t>
      </w:r>
      <w:proofErr w:type="spellStart"/>
      <w:r w:rsidRPr="00417AA4">
        <w:rPr>
          <w:rFonts w:ascii="Arial Narrow" w:eastAsia="Times New Roman" w:hAnsi="Arial Narrow" w:cs="Arial"/>
          <w:color w:val="000000"/>
          <w:lang w:eastAsia="id-ID"/>
        </w:rPr>
        <w:t>Purwokerto</w:t>
      </w:r>
      <w:proofErr w:type="spellEnd"/>
      <w:r w:rsidR="00A961D1">
        <w:rPr>
          <w:rFonts w:ascii="Arial Narrow" w:eastAsia="Times New Roman" w:hAnsi="Arial Narrow" w:cs="Arial"/>
          <w:color w:val="000000"/>
          <w:lang w:eastAsia="id-ID"/>
        </w:rPr>
        <w:t xml:space="preserve">. </w:t>
      </w:r>
      <w:r w:rsidRPr="00417AA4">
        <w:rPr>
          <w:rFonts w:ascii="Arial Narrow" w:eastAsia="Times New Roman" w:hAnsi="Arial Narrow" w:cs="Arial"/>
          <w:color w:val="000000"/>
          <w:lang w:eastAsia="id-ID"/>
        </w:rPr>
        <w:t xml:space="preserve">The results of the study showed that respondents with pathological labor mostly had </w:t>
      </w:r>
      <w:proofErr w:type="spellStart"/>
      <w:r w:rsidRPr="00417AA4">
        <w:rPr>
          <w:rFonts w:ascii="Arial Narrow" w:eastAsia="Times New Roman" w:hAnsi="Arial Narrow" w:cs="Arial"/>
          <w:color w:val="000000"/>
          <w:lang w:eastAsia="id-ID"/>
        </w:rPr>
        <w:t>hyperbilirubinema</w:t>
      </w:r>
      <w:proofErr w:type="spellEnd"/>
      <w:r w:rsidRPr="00417AA4">
        <w:rPr>
          <w:rFonts w:ascii="Arial Narrow" w:eastAsia="Times New Roman" w:hAnsi="Arial Narrow" w:cs="Arial"/>
          <w:color w:val="000000"/>
          <w:lang w:eastAsia="id-ID"/>
        </w:rPr>
        <w:t xml:space="preserve"> in the grade V category, 31 respondents (34.9%) and respondents with normal labor mostly had </w:t>
      </w:r>
      <w:proofErr w:type="spellStart"/>
      <w:r w:rsidRPr="00417AA4">
        <w:rPr>
          <w:rFonts w:ascii="Arial Narrow" w:eastAsia="Times New Roman" w:hAnsi="Arial Narrow" w:cs="Arial"/>
          <w:color w:val="000000"/>
          <w:lang w:eastAsia="id-ID"/>
        </w:rPr>
        <w:t>hyperbilirubinema</w:t>
      </w:r>
      <w:proofErr w:type="spellEnd"/>
      <w:r w:rsidRPr="00417AA4">
        <w:rPr>
          <w:rFonts w:ascii="Arial Narrow" w:eastAsia="Times New Roman" w:hAnsi="Arial Narrow" w:cs="Arial"/>
          <w:color w:val="000000"/>
          <w:lang w:eastAsia="id-ID"/>
        </w:rPr>
        <w:t xml:space="preserve"> in the grade I category, 21 responses.</w:t>
      </w:r>
      <w:r w:rsidR="0022401B" w:rsidRPr="0022401B">
        <w:rPr>
          <w:rFonts w:ascii="Arial Narrow" w:eastAsia="Times New Roman" w:hAnsi="Arial Narrow" w:cs="Arial"/>
          <w:color w:val="000000"/>
          <w:lang w:eastAsia="id-ID"/>
        </w:rPr>
        <w:t xml:space="preserve"> </w:t>
      </w:r>
    </w:p>
    <w:p w14:paraId="2FC57688" w14:textId="5D15C0DB" w:rsidR="0022401B" w:rsidRPr="0022401B" w:rsidRDefault="00A961D1" w:rsidP="00A961D1">
      <w:pPr>
        <w:autoSpaceDE w:val="0"/>
        <w:autoSpaceDN w:val="0"/>
        <w:adjustRightInd w:val="0"/>
        <w:spacing w:line="276" w:lineRule="auto"/>
        <w:ind w:left="540"/>
        <w:jc w:val="both"/>
        <w:rPr>
          <w:rFonts w:ascii="Arial Narrow" w:eastAsia="Times New Roman" w:hAnsi="Arial Narrow" w:cs="Arial"/>
          <w:color w:val="000000"/>
          <w:lang w:eastAsia="id-ID"/>
        </w:rPr>
      </w:pPr>
      <w:r>
        <w:rPr>
          <w:rFonts w:ascii="Arial Narrow" w:hAnsi="Arial Narrow"/>
          <w:b/>
          <w:bCs/>
          <w:color w:val="000000"/>
        </w:rPr>
        <w:t>SUGGESTION</w:t>
      </w:r>
    </w:p>
    <w:p w14:paraId="0FEB6110" w14:textId="4993A958" w:rsidR="0022401B" w:rsidRDefault="00A961D1" w:rsidP="00A961D1">
      <w:pPr>
        <w:spacing w:line="276" w:lineRule="auto"/>
        <w:ind w:left="567" w:firstLine="603"/>
        <w:contextualSpacing/>
        <w:jc w:val="both"/>
        <w:rPr>
          <w:rFonts w:ascii="Arial Narrow" w:hAnsi="Arial Narrow" w:cs="Arial"/>
          <w:lang w:eastAsia="x-none"/>
        </w:rPr>
      </w:pPr>
      <w:r w:rsidRPr="00A961D1">
        <w:rPr>
          <w:rFonts w:ascii="Arial Narrow" w:hAnsi="Arial Narrow" w:cs="Arial"/>
          <w:lang w:eastAsia="x-none"/>
        </w:rPr>
        <w:t xml:space="preserve">Types of labor for newborns at RSIA Bunda Arif </w:t>
      </w:r>
      <w:proofErr w:type="spellStart"/>
      <w:r w:rsidRPr="00A961D1">
        <w:rPr>
          <w:rFonts w:ascii="Arial Narrow" w:hAnsi="Arial Narrow" w:cs="Arial"/>
          <w:lang w:eastAsia="x-none"/>
        </w:rPr>
        <w:t>Purwokerto</w:t>
      </w:r>
      <w:proofErr w:type="spellEnd"/>
      <w:r w:rsidRPr="00A961D1">
        <w:rPr>
          <w:rFonts w:ascii="Arial Narrow" w:hAnsi="Arial Narrow" w:cs="Arial"/>
          <w:lang w:eastAsia="x-none"/>
        </w:rPr>
        <w:t xml:space="preserve">: 52.8% experienced pathological labor and 47.2% experienced normal labor. The incidence of hyperbilirubinemia in newborns at RSIA Bunda Arif </w:t>
      </w:r>
      <w:proofErr w:type="spellStart"/>
      <w:r w:rsidRPr="00A961D1">
        <w:rPr>
          <w:rFonts w:ascii="Arial Narrow" w:hAnsi="Arial Narrow" w:cs="Arial"/>
          <w:lang w:eastAsia="x-none"/>
        </w:rPr>
        <w:t>Purwokerto</w:t>
      </w:r>
      <w:proofErr w:type="spellEnd"/>
      <w:r w:rsidRPr="00A961D1">
        <w:rPr>
          <w:rFonts w:ascii="Arial Narrow" w:hAnsi="Arial Narrow" w:cs="Arial"/>
          <w:lang w:eastAsia="x-none"/>
        </w:rPr>
        <w:t xml:space="preserve"> was 24.7% experiencing hyperbilirubinemia in grade I category, 16.9% in grade II category, 9% in grade III category, 13.4% in grade IV category and 36% in grade V category. There is a relationship between the type of delivery and the incidence of hyperbilirubinemia in newborns at RSIA Bunda Arif </w:t>
      </w:r>
      <w:proofErr w:type="spellStart"/>
      <w:r w:rsidRPr="00A961D1">
        <w:rPr>
          <w:rFonts w:ascii="Arial Narrow" w:hAnsi="Arial Narrow" w:cs="Arial"/>
          <w:lang w:eastAsia="x-none"/>
        </w:rPr>
        <w:t>Purwokerto</w:t>
      </w:r>
      <w:proofErr w:type="spellEnd"/>
      <w:r w:rsidRPr="00A961D1">
        <w:rPr>
          <w:rFonts w:ascii="Arial Narrow" w:hAnsi="Arial Narrow" w:cs="Arial"/>
          <w:lang w:eastAsia="x-none"/>
        </w:rPr>
        <w:t xml:space="preserve"> with a p-value of 0.0001 (p-value &lt; α). There is a moderate level of correlation between the type of delivery and the incidence of hyperbilirubinemia with a lambda (λ) value of 0.576.</w:t>
      </w:r>
    </w:p>
    <w:p w14:paraId="19959D74" w14:textId="77777777" w:rsidR="00A961D1" w:rsidRPr="0022401B" w:rsidRDefault="00A961D1" w:rsidP="00A961D1">
      <w:pPr>
        <w:spacing w:line="276" w:lineRule="auto"/>
        <w:ind w:left="567" w:firstLine="603"/>
        <w:contextualSpacing/>
        <w:jc w:val="both"/>
        <w:rPr>
          <w:rFonts w:ascii="Arial Narrow" w:hAnsi="Arial Narrow" w:cs="Arial"/>
          <w:lang w:val="x-none" w:eastAsia="x-none"/>
        </w:rPr>
      </w:pPr>
    </w:p>
    <w:p w14:paraId="1615C876" w14:textId="069C18B2" w:rsidR="0022401B" w:rsidRPr="0022401B" w:rsidRDefault="00A961D1" w:rsidP="0022401B">
      <w:pPr>
        <w:spacing w:line="276" w:lineRule="auto"/>
        <w:ind w:left="567"/>
        <w:contextualSpacing/>
        <w:jc w:val="both"/>
        <w:rPr>
          <w:rFonts w:ascii="Arial Narrow" w:hAnsi="Arial Narrow" w:cs="Arial"/>
          <w:lang w:val="x-none" w:eastAsia="x-none"/>
        </w:rPr>
      </w:pPr>
      <w:r>
        <w:rPr>
          <w:rFonts w:ascii="Arial Narrow" w:hAnsi="Arial Narrow"/>
          <w:b/>
          <w:bCs/>
          <w:color w:val="000000"/>
        </w:rPr>
        <w:t>REFERENCE</w:t>
      </w:r>
    </w:p>
    <w:p w14:paraId="0DC98EEB"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Adiputra, I. M. S., Trisnadewi, N. W., Oktaviani, N. P. W., Munthe, S. A., Hulu, V. T., Budiastutik, I., Faridi, A., Ramdany, R., Fitriani, R. J., Tania, P. O. A., Rahmiati, B. F., Lusiana, S. A., Sianturi, E., &amp; </w:t>
      </w:r>
      <w:r w:rsidRPr="0022401B">
        <w:rPr>
          <w:rFonts w:ascii="Arial Narrow" w:hAnsi="Arial Narrow" w:cs="Arial"/>
          <w:noProof/>
        </w:rPr>
        <w:lastRenderedPageBreak/>
        <w:t xml:space="preserve">Suryana. (2021). </w:t>
      </w:r>
      <w:r w:rsidRPr="0022401B">
        <w:rPr>
          <w:rFonts w:ascii="Arial Narrow" w:hAnsi="Arial Narrow" w:cs="Arial"/>
          <w:i/>
          <w:iCs/>
          <w:noProof/>
        </w:rPr>
        <w:t>Metodologi Penelitian Kesehatan</w:t>
      </w:r>
      <w:r w:rsidRPr="0022401B">
        <w:rPr>
          <w:rFonts w:ascii="Arial Narrow" w:hAnsi="Arial Narrow" w:cs="Arial"/>
          <w:noProof/>
        </w:rPr>
        <w:t>. Medan: Yayasan Kita Menulis.</w:t>
      </w:r>
    </w:p>
    <w:p w14:paraId="087C79CF"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Althomali, R., Aloqayli, R., Alyafi, B., Nono, A., Alkhalaf, S., Aljomailan, A., ALHarbi, H., Alqahtani, A., Alherz, H., &amp; Aldebani, M. (2018). Neonatal jaundice causes and management. </w:t>
      </w:r>
      <w:r w:rsidRPr="0022401B">
        <w:rPr>
          <w:rFonts w:ascii="Arial Narrow" w:hAnsi="Arial Narrow" w:cs="Arial"/>
          <w:i/>
          <w:iCs/>
          <w:noProof/>
        </w:rPr>
        <w:t>International Journal Of Community Medicine And Public Health</w:t>
      </w:r>
      <w:r w:rsidRPr="0022401B">
        <w:rPr>
          <w:rFonts w:ascii="Arial Narrow" w:hAnsi="Arial Narrow" w:cs="Arial"/>
          <w:noProof/>
        </w:rPr>
        <w:t xml:space="preserve">, </w:t>
      </w:r>
      <w:r w:rsidRPr="0022401B">
        <w:rPr>
          <w:rFonts w:ascii="Arial Narrow" w:hAnsi="Arial Narrow" w:cs="Arial"/>
          <w:i/>
          <w:iCs/>
          <w:noProof/>
        </w:rPr>
        <w:t>5</w:t>
      </w:r>
      <w:r w:rsidRPr="0022401B">
        <w:rPr>
          <w:rFonts w:ascii="Arial Narrow" w:hAnsi="Arial Narrow" w:cs="Arial"/>
          <w:noProof/>
        </w:rPr>
        <w:t xml:space="preserve">(11), 4992. </w:t>
      </w:r>
      <w:hyperlink r:id="rId6" w:history="1">
        <w:r w:rsidRPr="0022401B">
          <w:rPr>
            <w:rStyle w:val="Hyperlink"/>
            <w:rFonts w:ascii="Arial Narrow" w:hAnsi="Arial Narrow" w:cs="Arial"/>
            <w:noProof/>
          </w:rPr>
          <w:t>https://doi.org/10.18203/2394-6040.ijcmph20184604</w:t>
        </w:r>
      </w:hyperlink>
    </w:p>
    <w:p w14:paraId="2A59A2AA"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Atikah, M. ., &amp; Jaya, P. (2015). </w:t>
      </w:r>
      <w:r w:rsidRPr="0022401B">
        <w:rPr>
          <w:rFonts w:ascii="Arial Narrow" w:hAnsi="Arial Narrow" w:cs="Arial"/>
          <w:i/>
          <w:iCs/>
          <w:noProof/>
        </w:rPr>
        <w:t>Buku Ajar Kebidanan Pada Neonatus, Bayi, dan Balita</w:t>
      </w:r>
      <w:r w:rsidRPr="0022401B">
        <w:rPr>
          <w:rFonts w:ascii="Arial Narrow" w:hAnsi="Arial Narrow" w:cs="Arial"/>
          <w:noProof/>
        </w:rPr>
        <w:t>. Jakarta: CV.Trans Info Media.</w:t>
      </w:r>
    </w:p>
    <w:p w14:paraId="4BC20A88"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Auliasari, N. A., Etika, R., Krisnana, I., &amp; Lestari, P. (2019). Faktor Risiko Kejadian Ikterus Neonatorum. </w:t>
      </w:r>
      <w:r w:rsidRPr="0022401B">
        <w:rPr>
          <w:rFonts w:ascii="Arial Narrow" w:hAnsi="Arial Narrow" w:cs="Arial"/>
          <w:i/>
          <w:iCs/>
          <w:noProof/>
        </w:rPr>
        <w:t>Pediomaternal Nursing Journal</w:t>
      </w:r>
      <w:r w:rsidRPr="0022401B">
        <w:rPr>
          <w:rFonts w:ascii="Arial Narrow" w:hAnsi="Arial Narrow" w:cs="Arial"/>
          <w:noProof/>
        </w:rPr>
        <w:t xml:space="preserve">, </w:t>
      </w:r>
      <w:r w:rsidRPr="0022401B">
        <w:rPr>
          <w:rFonts w:ascii="Arial Narrow" w:hAnsi="Arial Narrow" w:cs="Arial"/>
          <w:i/>
          <w:iCs/>
          <w:noProof/>
        </w:rPr>
        <w:t>5</w:t>
      </w:r>
      <w:r w:rsidRPr="0022401B">
        <w:rPr>
          <w:rFonts w:ascii="Arial Narrow" w:hAnsi="Arial Narrow" w:cs="Arial"/>
          <w:noProof/>
        </w:rPr>
        <w:t xml:space="preserve">(2), 183. </w:t>
      </w:r>
      <w:hyperlink r:id="rId7" w:history="1">
        <w:r w:rsidRPr="0022401B">
          <w:rPr>
            <w:rStyle w:val="Hyperlink"/>
            <w:rFonts w:ascii="Arial Narrow" w:hAnsi="Arial Narrow" w:cs="Arial"/>
            <w:noProof/>
          </w:rPr>
          <w:t>https://doi.org/10.20473/pmnj.v5i2.13457</w:t>
        </w:r>
      </w:hyperlink>
    </w:p>
    <w:p w14:paraId="6E1AD4C7"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Bahar, I. N. (2017). Faktor Faktor Yang Mempengaruhi Terjadinya Ikterus Pada Neonatus Di RSKDIA Siti Fatimah Makassar. </w:t>
      </w:r>
      <w:r w:rsidRPr="0022401B">
        <w:rPr>
          <w:rFonts w:ascii="Arial Narrow" w:hAnsi="Arial Narrow" w:cs="Arial"/>
          <w:i/>
          <w:iCs/>
          <w:noProof/>
        </w:rPr>
        <w:t>Jurnal Universitas Hasanuddin</w:t>
      </w:r>
      <w:r w:rsidRPr="0022401B">
        <w:rPr>
          <w:rFonts w:ascii="Arial Narrow" w:hAnsi="Arial Narrow" w:cs="Arial"/>
          <w:noProof/>
        </w:rPr>
        <w:t xml:space="preserve">, </w:t>
      </w:r>
      <w:r w:rsidRPr="0022401B">
        <w:rPr>
          <w:rFonts w:ascii="Arial Narrow" w:hAnsi="Arial Narrow" w:cs="Arial"/>
          <w:i/>
          <w:iCs/>
          <w:noProof/>
        </w:rPr>
        <w:t>1</w:t>
      </w:r>
      <w:r w:rsidRPr="0022401B">
        <w:rPr>
          <w:rFonts w:ascii="Arial Narrow" w:hAnsi="Arial Narrow" w:cs="Arial"/>
          <w:noProof/>
        </w:rPr>
        <w:t>(1), 1–10.</w:t>
      </w:r>
    </w:p>
    <w:p w14:paraId="1661BA2D"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Berman, A., Snyder, S., &amp; Frandsen, G. (2016). Kozier &amp; ERB’S Fundamentals of Nursing: Concepts, Process, and Practice. In </w:t>
      </w:r>
      <w:r w:rsidRPr="0022401B">
        <w:rPr>
          <w:rFonts w:ascii="Arial Narrow" w:hAnsi="Arial Narrow" w:cs="Arial"/>
          <w:i/>
          <w:iCs/>
          <w:noProof/>
        </w:rPr>
        <w:t>Pearson Education Inc</w:t>
      </w:r>
      <w:r w:rsidRPr="0022401B">
        <w:rPr>
          <w:rFonts w:ascii="Arial Narrow" w:hAnsi="Arial Narrow" w:cs="Arial"/>
          <w:noProof/>
        </w:rPr>
        <w:t>.</w:t>
      </w:r>
    </w:p>
    <w:p w14:paraId="3E3008C5"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Cholifah, Djauharoh, &amp; Machfudloh, H. (2017). Faktor-Faktor Yang Berpengaruh Terhadap Hiperbilirubinemia Di RS Muhammadiyah Gersik. </w:t>
      </w:r>
      <w:r w:rsidRPr="0022401B">
        <w:rPr>
          <w:rFonts w:ascii="Arial Narrow" w:hAnsi="Arial Narrow" w:cs="Arial"/>
          <w:i/>
          <w:iCs/>
          <w:noProof/>
        </w:rPr>
        <w:t>Jurnal Fakultas Ilmu Kesehatan Muhammadiyah Sidoarjo</w:t>
      </w:r>
      <w:r w:rsidRPr="0022401B">
        <w:rPr>
          <w:rFonts w:ascii="Arial Narrow" w:hAnsi="Arial Narrow" w:cs="Arial"/>
          <w:noProof/>
        </w:rPr>
        <w:t xml:space="preserve">, </w:t>
      </w:r>
      <w:r w:rsidRPr="0022401B">
        <w:rPr>
          <w:rFonts w:ascii="Arial Narrow" w:hAnsi="Arial Narrow" w:cs="Arial"/>
          <w:i/>
          <w:iCs/>
          <w:noProof/>
        </w:rPr>
        <w:t>3</w:t>
      </w:r>
      <w:r w:rsidRPr="0022401B">
        <w:rPr>
          <w:rFonts w:ascii="Arial Narrow" w:hAnsi="Arial Narrow" w:cs="Arial"/>
          <w:noProof/>
        </w:rPr>
        <w:t>(1), 14–25.</w:t>
      </w:r>
    </w:p>
    <w:p w14:paraId="53CD3ECA"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Faiqah, S. (2014). Hubungan Usia Gestasi Dan Jenis Persalinan Dengan Kadar Bilirubinemia Pada Bayi Ikterus Di RSUP NTB. </w:t>
      </w:r>
      <w:r w:rsidRPr="0022401B">
        <w:rPr>
          <w:rFonts w:ascii="Arial Narrow" w:hAnsi="Arial Narrow" w:cs="Arial"/>
          <w:i/>
          <w:iCs/>
          <w:noProof/>
        </w:rPr>
        <w:t>Jurnal Kesehatan Prima</w:t>
      </w:r>
      <w:r w:rsidRPr="0022401B">
        <w:rPr>
          <w:rFonts w:ascii="Arial Narrow" w:hAnsi="Arial Narrow" w:cs="Arial"/>
          <w:noProof/>
        </w:rPr>
        <w:t xml:space="preserve">, </w:t>
      </w:r>
      <w:r w:rsidRPr="0022401B">
        <w:rPr>
          <w:rFonts w:ascii="Arial Narrow" w:hAnsi="Arial Narrow" w:cs="Arial"/>
          <w:i/>
          <w:iCs/>
          <w:noProof/>
        </w:rPr>
        <w:t>8</w:t>
      </w:r>
      <w:r w:rsidRPr="0022401B">
        <w:rPr>
          <w:rFonts w:ascii="Arial Narrow" w:hAnsi="Arial Narrow" w:cs="Arial"/>
          <w:noProof/>
        </w:rPr>
        <w:t>(2), 1355–1362.</w:t>
      </w:r>
    </w:p>
    <w:p w14:paraId="03EEA154"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Halisanti, O., &amp; Wildan, M. (2021). Hubungan Antara Sepsis Neonatorum Dengan Terjadinya Ikterus Neonatorum. </w:t>
      </w:r>
      <w:r w:rsidRPr="0022401B">
        <w:rPr>
          <w:rFonts w:ascii="Arial Narrow" w:hAnsi="Arial Narrow" w:cs="Arial"/>
          <w:i/>
          <w:iCs/>
          <w:noProof/>
        </w:rPr>
        <w:t>Jurnal Publikasi Ilmiah UMS</w:t>
      </w:r>
      <w:r w:rsidRPr="0022401B">
        <w:rPr>
          <w:rFonts w:ascii="Arial Narrow" w:hAnsi="Arial Narrow" w:cs="Arial"/>
          <w:noProof/>
        </w:rPr>
        <w:t xml:space="preserve">, </w:t>
      </w:r>
      <w:r w:rsidRPr="0022401B">
        <w:rPr>
          <w:rFonts w:ascii="Arial Narrow" w:hAnsi="Arial Narrow" w:cs="Arial"/>
          <w:i/>
          <w:iCs/>
          <w:noProof/>
        </w:rPr>
        <w:t>9</w:t>
      </w:r>
      <w:r w:rsidRPr="0022401B">
        <w:rPr>
          <w:rFonts w:ascii="Arial Narrow" w:hAnsi="Arial Narrow" w:cs="Arial"/>
          <w:noProof/>
        </w:rPr>
        <w:t>(1), 1–15.</w:t>
      </w:r>
    </w:p>
    <w:p w14:paraId="74AFD41A"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Heriyanti, A., Widiasih, R., &amp; Murtiningsih, M. (2020). Efektifitas Terapi Caring Support Neobil terhadap Perubahan Kadar Bilirubin Serum Total Hyperbilirubinemia pada Neonatus Di Rumah Sakit Dustira Cimahi. </w:t>
      </w:r>
      <w:r w:rsidRPr="0022401B">
        <w:rPr>
          <w:rFonts w:ascii="Arial Narrow" w:hAnsi="Arial Narrow" w:cs="Arial"/>
          <w:i/>
          <w:iCs/>
          <w:noProof/>
        </w:rPr>
        <w:t>Health Information</w:t>
      </w:r>
      <w:r w:rsidRPr="0022401B">
        <w:rPr>
          <w:rFonts w:ascii="Arial" w:hAnsi="Arial" w:cs="Arial"/>
          <w:i/>
          <w:iCs/>
          <w:noProof/>
        </w:rPr>
        <w:t> </w:t>
      </w:r>
      <w:r w:rsidRPr="0022401B">
        <w:rPr>
          <w:rFonts w:ascii="Arial Narrow" w:hAnsi="Arial Narrow" w:cs="Arial"/>
          <w:i/>
          <w:iCs/>
          <w:noProof/>
        </w:rPr>
        <w:t>: Jurnal Penelitian</w:t>
      </w:r>
      <w:r w:rsidRPr="0022401B">
        <w:rPr>
          <w:rFonts w:ascii="Arial Narrow" w:hAnsi="Arial Narrow" w:cs="Arial"/>
          <w:noProof/>
        </w:rPr>
        <w:t xml:space="preserve">, </w:t>
      </w:r>
      <w:r w:rsidRPr="0022401B">
        <w:rPr>
          <w:rFonts w:ascii="Arial Narrow" w:hAnsi="Arial Narrow" w:cs="Arial"/>
          <w:i/>
          <w:iCs/>
          <w:noProof/>
        </w:rPr>
        <w:t>12</w:t>
      </w:r>
      <w:r w:rsidRPr="0022401B">
        <w:rPr>
          <w:rFonts w:ascii="Arial Narrow" w:hAnsi="Arial Narrow" w:cs="Arial"/>
          <w:noProof/>
        </w:rPr>
        <w:t xml:space="preserve">(1), 30–37. </w:t>
      </w:r>
      <w:hyperlink r:id="rId8" w:history="1">
        <w:r w:rsidRPr="0022401B">
          <w:rPr>
            <w:rStyle w:val="Hyperlink"/>
            <w:rFonts w:ascii="Arial Narrow" w:hAnsi="Arial Narrow" w:cs="Arial"/>
            <w:noProof/>
          </w:rPr>
          <w:t>https://doi.org/10.36990/hijp.vi.154</w:t>
        </w:r>
      </w:hyperlink>
    </w:p>
    <w:p w14:paraId="1868D951"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Hidayat, A. A. (2020). Metodologi Penelitian Keperawatan dan Kesehatan. In </w:t>
      </w:r>
      <w:r w:rsidRPr="0022401B">
        <w:rPr>
          <w:rFonts w:ascii="Arial Narrow" w:hAnsi="Arial Narrow" w:cs="Arial"/>
          <w:i/>
          <w:iCs/>
          <w:noProof/>
        </w:rPr>
        <w:t>Salemba Medika</w:t>
      </w:r>
      <w:r w:rsidRPr="0022401B">
        <w:rPr>
          <w:rFonts w:ascii="Arial Narrow" w:hAnsi="Arial Narrow" w:cs="Arial"/>
          <w:noProof/>
        </w:rPr>
        <w:t>. Jakarta: Salemba Medika.</w:t>
      </w:r>
    </w:p>
    <w:p w14:paraId="0965B340"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Johan, H., &amp; Noorbaya, S. (2019). </w:t>
      </w:r>
      <w:r w:rsidRPr="0022401B">
        <w:rPr>
          <w:rFonts w:ascii="Arial Narrow" w:hAnsi="Arial Narrow" w:cs="Arial"/>
          <w:i/>
          <w:iCs/>
          <w:noProof/>
        </w:rPr>
        <w:t>Panduan Belajar Asuhan Neonatus, Bayi, Balita dan Anak Prasekolah</w:t>
      </w:r>
      <w:r w:rsidRPr="0022401B">
        <w:rPr>
          <w:rFonts w:ascii="Arial Narrow" w:hAnsi="Arial Narrow" w:cs="Arial"/>
          <w:noProof/>
        </w:rPr>
        <w:t>. Yogyakarta: Goysen Publishing.</w:t>
      </w:r>
    </w:p>
    <w:p w14:paraId="1D9A41EB"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Juwita, &amp; Prisusanti. (2020). </w:t>
      </w:r>
      <w:r w:rsidRPr="0022401B">
        <w:rPr>
          <w:rFonts w:ascii="Arial Narrow" w:hAnsi="Arial Narrow" w:cs="Arial"/>
          <w:i/>
          <w:iCs/>
          <w:noProof/>
        </w:rPr>
        <w:t>Asuhan Neonatus</w:t>
      </w:r>
      <w:r w:rsidRPr="0022401B">
        <w:rPr>
          <w:rFonts w:ascii="Arial Narrow" w:hAnsi="Arial Narrow" w:cs="Arial"/>
          <w:noProof/>
        </w:rPr>
        <w:t>. Pasururuan: Qiara Media.</w:t>
      </w:r>
    </w:p>
    <w:p w14:paraId="41DF9988"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Kemenkes RI. (2021). Profil Kesehatan Indonesia 2020. In </w:t>
      </w:r>
      <w:r w:rsidRPr="0022401B">
        <w:rPr>
          <w:rFonts w:ascii="Arial Narrow" w:hAnsi="Arial Narrow" w:cs="Arial"/>
          <w:i/>
          <w:iCs/>
          <w:noProof/>
        </w:rPr>
        <w:t>Kementrian Kesehatan Republik Indonesia</w:t>
      </w:r>
      <w:r w:rsidRPr="0022401B">
        <w:rPr>
          <w:rFonts w:ascii="Arial Narrow" w:hAnsi="Arial Narrow" w:cs="Arial"/>
          <w:noProof/>
        </w:rPr>
        <w:t>.</w:t>
      </w:r>
    </w:p>
    <w:p w14:paraId="3A11C2FC"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Kosim, M. . (2014). </w:t>
      </w:r>
      <w:r w:rsidRPr="0022401B">
        <w:rPr>
          <w:rFonts w:ascii="Arial Narrow" w:hAnsi="Arial Narrow" w:cs="Arial"/>
          <w:i/>
          <w:iCs/>
          <w:noProof/>
        </w:rPr>
        <w:t>Buku Ajar Neonatologi</w:t>
      </w:r>
      <w:r w:rsidRPr="0022401B">
        <w:rPr>
          <w:rFonts w:ascii="Arial Narrow" w:hAnsi="Arial Narrow" w:cs="Arial"/>
          <w:noProof/>
        </w:rPr>
        <w:t>. Jakarta: Badan Penerbit IDAI.</w:t>
      </w:r>
    </w:p>
    <w:p w14:paraId="56720973"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Kurniawan, W., &amp; Agustini, A. (2021). </w:t>
      </w:r>
      <w:r w:rsidRPr="0022401B">
        <w:rPr>
          <w:rFonts w:ascii="Arial Narrow" w:hAnsi="Arial Narrow" w:cs="Arial"/>
          <w:i/>
          <w:iCs/>
          <w:noProof/>
        </w:rPr>
        <w:t>Metodologi Penelitian kesehatan dan Keperawatan</w:t>
      </w:r>
      <w:r w:rsidRPr="0022401B">
        <w:rPr>
          <w:rFonts w:ascii="Arial Narrow" w:hAnsi="Arial Narrow" w:cs="Arial"/>
          <w:noProof/>
        </w:rPr>
        <w:t>. Cirebon: CV Rumah Pustaka.</w:t>
      </w:r>
    </w:p>
    <w:p w14:paraId="6FE15AB0"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Lawn, J. E., Blencowe, S., Oza, D., You, A. C., Lee, P., Waiswa, M., Laili, C., &amp; Mathers, S. N. (2019). Every Newborn. </w:t>
      </w:r>
      <w:r w:rsidRPr="0022401B">
        <w:rPr>
          <w:rFonts w:ascii="Arial Narrow" w:hAnsi="Arial Narrow" w:cs="Arial"/>
          <w:i/>
          <w:iCs/>
          <w:noProof/>
        </w:rPr>
        <w:t>Lancet</w:t>
      </w:r>
      <w:r w:rsidRPr="0022401B">
        <w:rPr>
          <w:rFonts w:ascii="Arial Narrow" w:hAnsi="Arial Narrow" w:cs="Arial"/>
          <w:noProof/>
        </w:rPr>
        <w:t xml:space="preserve">, </w:t>
      </w:r>
      <w:r w:rsidRPr="0022401B">
        <w:rPr>
          <w:rFonts w:ascii="Arial Narrow" w:hAnsi="Arial Narrow" w:cs="Arial"/>
          <w:i/>
          <w:iCs/>
          <w:noProof/>
        </w:rPr>
        <w:t>348</w:t>
      </w:r>
      <w:r w:rsidRPr="0022401B">
        <w:rPr>
          <w:rFonts w:ascii="Arial Narrow" w:hAnsi="Arial Narrow" w:cs="Arial"/>
          <w:noProof/>
        </w:rPr>
        <w:t>(938), 189–205.</w:t>
      </w:r>
    </w:p>
    <w:p w14:paraId="336110F1"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Madiastuti, M., &amp; Chalada, S. (2016). Faktor – Faktor Yang Berhubungan Dengan Kejadian Neonatus Hiperbilirubin Di Rsb Pasutri Bogor Provinsi Jawa Barat Tahun 2016. </w:t>
      </w:r>
      <w:r w:rsidRPr="0022401B">
        <w:rPr>
          <w:rFonts w:ascii="Arial Narrow" w:hAnsi="Arial Narrow" w:cs="Arial"/>
          <w:i/>
          <w:iCs/>
          <w:noProof/>
        </w:rPr>
        <w:t>Ilmu Dan Budaya</w:t>
      </w:r>
      <w:r w:rsidRPr="0022401B">
        <w:rPr>
          <w:rFonts w:ascii="Arial Narrow" w:hAnsi="Arial Narrow" w:cs="Arial"/>
          <w:noProof/>
        </w:rPr>
        <w:t xml:space="preserve">, </w:t>
      </w:r>
      <w:r w:rsidRPr="0022401B">
        <w:rPr>
          <w:rFonts w:ascii="Arial Narrow" w:hAnsi="Arial Narrow" w:cs="Arial"/>
          <w:i/>
          <w:iCs/>
          <w:noProof/>
        </w:rPr>
        <w:t>40</w:t>
      </w:r>
      <w:r w:rsidRPr="0022401B">
        <w:rPr>
          <w:rFonts w:ascii="Arial Narrow" w:hAnsi="Arial Narrow" w:cs="Arial"/>
          <w:noProof/>
        </w:rPr>
        <w:t>(55), 6385–6404.</w:t>
      </w:r>
    </w:p>
    <w:p w14:paraId="2DD3C2E5"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Marcdante, K. ., Kliegman, R. ., Jenson, H. ., &amp; Behrman, R. (2014). </w:t>
      </w:r>
      <w:r w:rsidRPr="0022401B">
        <w:rPr>
          <w:rFonts w:ascii="Arial Narrow" w:hAnsi="Arial Narrow" w:cs="Arial"/>
          <w:i/>
          <w:iCs/>
          <w:noProof/>
        </w:rPr>
        <w:t>Hiperbilirubinemia Kedokteran Fetal dan Neonatal</w:t>
      </w:r>
      <w:r w:rsidRPr="0022401B">
        <w:rPr>
          <w:rFonts w:ascii="Arial Narrow" w:hAnsi="Arial Narrow" w:cs="Arial"/>
          <w:noProof/>
        </w:rPr>
        <w:t>. Singapore: Saunders Elsevier.</w:t>
      </w:r>
    </w:p>
    <w:p w14:paraId="2FE8A0C3"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Marmi, K. . (2015). </w:t>
      </w:r>
      <w:r w:rsidRPr="0022401B">
        <w:rPr>
          <w:rFonts w:ascii="Arial Narrow" w:hAnsi="Arial Narrow" w:cs="Arial"/>
          <w:i/>
          <w:iCs/>
          <w:noProof/>
        </w:rPr>
        <w:t>Asuhan Neonatus, Bayi, Balita, dan Anak Pra Sekolah</w:t>
      </w:r>
      <w:r w:rsidRPr="0022401B">
        <w:rPr>
          <w:rFonts w:ascii="Arial Narrow" w:hAnsi="Arial Narrow" w:cs="Arial"/>
          <w:noProof/>
        </w:rPr>
        <w:t>. Yogyakarta: Pustaka Pelajar.</w:t>
      </w:r>
    </w:p>
    <w:p w14:paraId="0A6C1CF4"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Maryunani, A., &amp; Sari, E. . (2013). </w:t>
      </w:r>
      <w:r w:rsidRPr="0022401B">
        <w:rPr>
          <w:rFonts w:ascii="Arial Narrow" w:hAnsi="Arial Narrow" w:cs="Arial"/>
          <w:i/>
          <w:iCs/>
          <w:noProof/>
        </w:rPr>
        <w:t>Asuhan Kegawatdaruratan Maternal dan Neonatal</w:t>
      </w:r>
      <w:r w:rsidRPr="0022401B">
        <w:rPr>
          <w:rFonts w:ascii="Arial Narrow" w:hAnsi="Arial Narrow" w:cs="Arial"/>
          <w:noProof/>
        </w:rPr>
        <w:t>. Jakarta: CV Trans Info Media.</w:t>
      </w:r>
    </w:p>
    <w:p w14:paraId="709F7462"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lastRenderedPageBreak/>
        <w:t xml:space="preserve">Maternity, D., &amp; Anjani, A. D. (2018). </w:t>
      </w:r>
      <w:r w:rsidRPr="0022401B">
        <w:rPr>
          <w:rFonts w:ascii="Arial Narrow" w:hAnsi="Arial Narrow" w:cs="Arial"/>
          <w:i/>
          <w:iCs/>
          <w:noProof/>
        </w:rPr>
        <w:t>Asuhan Kebidanan Neonatus, Bayi, Balita, Dan Anak Prasekolah</w:t>
      </w:r>
      <w:r w:rsidRPr="0022401B">
        <w:rPr>
          <w:rFonts w:ascii="Arial Narrow" w:hAnsi="Arial Narrow" w:cs="Arial"/>
          <w:noProof/>
        </w:rPr>
        <w:t>. Yogyakarta</w:t>
      </w:r>
      <w:r w:rsidRPr="0022401B">
        <w:rPr>
          <w:rFonts w:ascii="Arial" w:hAnsi="Arial" w:cs="Arial"/>
          <w:noProof/>
        </w:rPr>
        <w:t> </w:t>
      </w:r>
      <w:r w:rsidRPr="0022401B">
        <w:rPr>
          <w:rFonts w:ascii="Arial Narrow" w:hAnsi="Arial Narrow" w:cs="Arial"/>
          <w:noProof/>
        </w:rPr>
        <w:t>: Andi offset.</w:t>
      </w:r>
    </w:p>
    <w:p w14:paraId="3040D933"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Mathindas, S., Wilar, R., &amp; Wahani, A. (2013). Hiperbilirubinemia Pada Neonatus Ikterus klinis. </w:t>
      </w:r>
      <w:r w:rsidRPr="0022401B">
        <w:rPr>
          <w:rFonts w:ascii="Arial Narrow" w:hAnsi="Arial Narrow" w:cs="Arial"/>
          <w:i/>
          <w:iCs/>
          <w:noProof/>
        </w:rPr>
        <w:t>Jurnal Biomedik</w:t>
      </w:r>
      <w:r w:rsidRPr="0022401B">
        <w:rPr>
          <w:rFonts w:ascii="Arial Narrow" w:hAnsi="Arial Narrow" w:cs="Arial"/>
          <w:noProof/>
        </w:rPr>
        <w:t xml:space="preserve">, </w:t>
      </w:r>
      <w:r w:rsidRPr="0022401B">
        <w:rPr>
          <w:rFonts w:ascii="Arial Narrow" w:hAnsi="Arial Narrow" w:cs="Arial"/>
          <w:i/>
          <w:iCs/>
          <w:noProof/>
        </w:rPr>
        <w:t>5</w:t>
      </w:r>
      <w:r w:rsidRPr="0022401B">
        <w:rPr>
          <w:rFonts w:ascii="Arial Narrow" w:hAnsi="Arial Narrow" w:cs="Arial"/>
          <w:noProof/>
        </w:rPr>
        <w:t>(1), 4–10.</w:t>
      </w:r>
    </w:p>
    <w:p w14:paraId="42D94E45"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Mitra, S., &amp; Rennie, J. (2017). Neonatal jaundice: Aetiology, diagnosis and treatment. </w:t>
      </w:r>
      <w:r w:rsidRPr="0022401B">
        <w:rPr>
          <w:rFonts w:ascii="Arial Narrow" w:hAnsi="Arial Narrow" w:cs="Arial"/>
          <w:i/>
          <w:iCs/>
          <w:noProof/>
        </w:rPr>
        <w:t>British Journal of Hospital Medicine</w:t>
      </w:r>
      <w:r w:rsidRPr="0022401B">
        <w:rPr>
          <w:rFonts w:ascii="Arial Narrow" w:hAnsi="Arial Narrow" w:cs="Arial"/>
          <w:noProof/>
        </w:rPr>
        <w:t xml:space="preserve">, </w:t>
      </w:r>
      <w:r w:rsidRPr="0022401B">
        <w:rPr>
          <w:rFonts w:ascii="Arial Narrow" w:hAnsi="Arial Narrow" w:cs="Arial"/>
          <w:i/>
          <w:iCs/>
          <w:noProof/>
        </w:rPr>
        <w:t>78</w:t>
      </w:r>
      <w:r w:rsidRPr="0022401B">
        <w:rPr>
          <w:rFonts w:ascii="Arial Narrow" w:hAnsi="Arial Narrow" w:cs="Arial"/>
          <w:noProof/>
        </w:rPr>
        <w:t xml:space="preserve">(12), 699–704. </w:t>
      </w:r>
      <w:hyperlink r:id="rId9" w:history="1">
        <w:r w:rsidRPr="0022401B">
          <w:rPr>
            <w:rStyle w:val="Hyperlink"/>
            <w:rFonts w:ascii="Arial Narrow" w:hAnsi="Arial Narrow" w:cs="Arial"/>
            <w:noProof/>
          </w:rPr>
          <w:t>https://doi.org/10.12968/hmed.2017.78.12.699</w:t>
        </w:r>
      </w:hyperlink>
    </w:p>
    <w:p w14:paraId="259C979E"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Mojtahedi, S. Y., Izadi, A., Seirafi, G., Khedmat, L., &amp; Tavakolizadeh, R. (2018). Risk factors associated with neonatal jaundice: a cross-sectional study from iran. </w:t>
      </w:r>
      <w:r w:rsidRPr="0022401B">
        <w:rPr>
          <w:rFonts w:ascii="Arial Narrow" w:hAnsi="Arial Narrow" w:cs="Arial"/>
          <w:i/>
          <w:iCs/>
          <w:noProof/>
        </w:rPr>
        <w:t>Open Access Macedonian Journal of Medical Sciences</w:t>
      </w:r>
      <w:r w:rsidRPr="0022401B">
        <w:rPr>
          <w:rFonts w:ascii="Arial Narrow" w:hAnsi="Arial Narrow" w:cs="Arial"/>
          <w:noProof/>
        </w:rPr>
        <w:t xml:space="preserve">, </w:t>
      </w:r>
      <w:r w:rsidRPr="0022401B">
        <w:rPr>
          <w:rFonts w:ascii="Arial Narrow" w:hAnsi="Arial Narrow" w:cs="Arial"/>
          <w:i/>
          <w:iCs/>
          <w:noProof/>
        </w:rPr>
        <w:t>6</w:t>
      </w:r>
      <w:r w:rsidRPr="0022401B">
        <w:rPr>
          <w:rFonts w:ascii="Arial Narrow" w:hAnsi="Arial Narrow" w:cs="Arial"/>
          <w:noProof/>
        </w:rPr>
        <w:t xml:space="preserve">(8), 1387–1393. </w:t>
      </w:r>
      <w:hyperlink r:id="rId10" w:history="1">
        <w:r w:rsidRPr="0022401B">
          <w:rPr>
            <w:rStyle w:val="Hyperlink"/>
            <w:rFonts w:ascii="Arial Narrow" w:hAnsi="Arial Narrow" w:cs="Arial"/>
            <w:noProof/>
          </w:rPr>
          <w:t>https://doi.org/10.3889/oamjms.2018.319</w:t>
        </w:r>
      </w:hyperlink>
    </w:p>
    <w:p w14:paraId="0371471E"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Moncrieff, G. (2018). Bilirubin in the newborn: Physiology and pathophysiology. </w:t>
      </w:r>
      <w:r w:rsidRPr="0022401B">
        <w:rPr>
          <w:rFonts w:ascii="Arial Narrow" w:hAnsi="Arial Narrow" w:cs="Arial"/>
          <w:i/>
          <w:iCs/>
          <w:noProof/>
        </w:rPr>
        <w:t>British Journal of Midwifery</w:t>
      </w:r>
      <w:r w:rsidRPr="0022401B">
        <w:rPr>
          <w:rFonts w:ascii="Arial Narrow" w:hAnsi="Arial Narrow" w:cs="Arial"/>
          <w:noProof/>
        </w:rPr>
        <w:t xml:space="preserve">, </w:t>
      </w:r>
      <w:r w:rsidRPr="0022401B">
        <w:rPr>
          <w:rFonts w:ascii="Arial Narrow" w:hAnsi="Arial Narrow" w:cs="Arial"/>
          <w:i/>
          <w:iCs/>
          <w:noProof/>
        </w:rPr>
        <w:t>26</w:t>
      </w:r>
      <w:r w:rsidRPr="0022401B">
        <w:rPr>
          <w:rFonts w:ascii="Arial Narrow" w:hAnsi="Arial Narrow" w:cs="Arial"/>
          <w:noProof/>
        </w:rPr>
        <w:t xml:space="preserve">(6), 362–370. </w:t>
      </w:r>
      <w:hyperlink r:id="rId11" w:history="1">
        <w:r w:rsidRPr="0022401B">
          <w:rPr>
            <w:rStyle w:val="Hyperlink"/>
            <w:rFonts w:ascii="Arial Narrow" w:hAnsi="Arial Narrow" w:cs="Arial"/>
            <w:noProof/>
          </w:rPr>
          <w:t>https://doi.org/10.12968/bjom.2018.26.6.362</w:t>
        </w:r>
      </w:hyperlink>
    </w:p>
    <w:p w14:paraId="2BC1FEA6"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Nanny, L. (2014). </w:t>
      </w:r>
      <w:r w:rsidRPr="0022401B">
        <w:rPr>
          <w:rFonts w:ascii="Arial Narrow" w:hAnsi="Arial Narrow" w:cs="Arial"/>
          <w:i/>
          <w:iCs/>
          <w:noProof/>
        </w:rPr>
        <w:t>Asuhan Neonatus Bayi dan Anak Balita</w:t>
      </w:r>
      <w:r w:rsidRPr="0022401B">
        <w:rPr>
          <w:rFonts w:ascii="Arial Narrow" w:hAnsi="Arial Narrow" w:cs="Arial"/>
          <w:noProof/>
        </w:rPr>
        <w:t>. Jakarta: Salemba Medika.</w:t>
      </w:r>
    </w:p>
    <w:p w14:paraId="4C52FB59"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Notoatmodjo, S. (2018). </w:t>
      </w:r>
      <w:r w:rsidRPr="0022401B">
        <w:rPr>
          <w:rFonts w:ascii="Arial Narrow" w:hAnsi="Arial Narrow" w:cs="Arial"/>
          <w:i/>
          <w:iCs/>
          <w:noProof/>
        </w:rPr>
        <w:t>Metodologi Penelitian Kesehatan</w:t>
      </w:r>
      <w:r w:rsidRPr="0022401B">
        <w:rPr>
          <w:rFonts w:ascii="Arial Narrow" w:hAnsi="Arial Narrow" w:cs="Arial"/>
          <w:noProof/>
        </w:rPr>
        <w:t>. Rineka Cipta.</w:t>
      </w:r>
    </w:p>
    <w:p w14:paraId="26816564"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Potter, P. A., &amp; Perry, A. G. (2015). Fundamental Keperawatan Buku 1 Ed. 7. In </w:t>
      </w:r>
      <w:r w:rsidRPr="0022401B">
        <w:rPr>
          <w:rFonts w:ascii="Arial Narrow" w:hAnsi="Arial Narrow" w:cs="Arial"/>
          <w:i/>
          <w:iCs/>
          <w:noProof/>
        </w:rPr>
        <w:t>Jakarta: Salemba Medika</w:t>
      </w:r>
      <w:r w:rsidRPr="0022401B">
        <w:rPr>
          <w:rFonts w:ascii="Arial Narrow" w:hAnsi="Arial Narrow" w:cs="Arial"/>
          <w:noProof/>
        </w:rPr>
        <w:t>. Jakarta: Salemba Medika.</w:t>
      </w:r>
    </w:p>
    <w:p w14:paraId="4D1B81EC"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Pratiwi, G. N., &amp; Kusumaningtiar, D. A. (2021). Kejadian Hiperbilirubin Bayi Baru Lahir Di Rs Swasta Jakarta. </w:t>
      </w:r>
      <w:r w:rsidRPr="0022401B">
        <w:rPr>
          <w:rFonts w:ascii="Arial Narrow" w:hAnsi="Arial Narrow" w:cs="Arial"/>
          <w:i/>
          <w:iCs/>
          <w:noProof/>
        </w:rPr>
        <w:t>Jurnal Kesmas (Kesehatan Masyarakat) Khatulistiwa</w:t>
      </w:r>
      <w:r w:rsidRPr="0022401B">
        <w:rPr>
          <w:rFonts w:ascii="Arial Narrow" w:hAnsi="Arial Narrow" w:cs="Arial"/>
          <w:noProof/>
        </w:rPr>
        <w:t xml:space="preserve">, </w:t>
      </w:r>
      <w:r w:rsidRPr="0022401B">
        <w:rPr>
          <w:rFonts w:ascii="Arial Narrow" w:hAnsi="Arial Narrow" w:cs="Arial"/>
          <w:i/>
          <w:iCs/>
          <w:noProof/>
        </w:rPr>
        <w:t>8</w:t>
      </w:r>
      <w:r w:rsidRPr="0022401B">
        <w:rPr>
          <w:rFonts w:ascii="Arial Narrow" w:hAnsi="Arial Narrow" w:cs="Arial"/>
          <w:noProof/>
        </w:rPr>
        <w:t xml:space="preserve">(2), 72. </w:t>
      </w:r>
      <w:hyperlink r:id="rId12" w:history="1">
        <w:r w:rsidRPr="0022401B">
          <w:rPr>
            <w:rStyle w:val="Hyperlink"/>
            <w:rFonts w:ascii="Arial Narrow" w:hAnsi="Arial Narrow" w:cs="Arial"/>
            <w:noProof/>
          </w:rPr>
          <w:t>https://doi.org/10.29406/jkmk.v8i2.2502</w:t>
        </w:r>
      </w:hyperlink>
    </w:p>
    <w:p w14:paraId="33541759"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Prawirohardjo, S. (2016). Ilmu Kebidanan Sarwono Prawirohardjo. </w:t>
      </w:r>
      <w:r w:rsidRPr="0022401B">
        <w:rPr>
          <w:rFonts w:ascii="Arial Narrow" w:hAnsi="Arial Narrow" w:cs="Arial"/>
          <w:i/>
          <w:iCs/>
          <w:noProof/>
        </w:rPr>
        <w:t>Edisi Ke-4. Jakarta: Yayasan Bina Pustaka Sarwono Prawirohardjo</w:t>
      </w:r>
      <w:r w:rsidRPr="0022401B">
        <w:rPr>
          <w:rFonts w:ascii="Arial Narrow" w:hAnsi="Arial Narrow" w:cs="Arial"/>
          <w:noProof/>
        </w:rPr>
        <w:t>.</w:t>
      </w:r>
    </w:p>
    <w:p w14:paraId="3C10784A"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Rasyd, W. (2019). </w:t>
      </w:r>
      <w:r w:rsidRPr="0022401B">
        <w:rPr>
          <w:rFonts w:ascii="Arial Narrow" w:hAnsi="Arial Narrow" w:cs="Arial"/>
          <w:i/>
          <w:iCs/>
          <w:noProof/>
        </w:rPr>
        <w:t>Faktor faktor yang berhubungan dengan kejadian ikterus neona-torum di RS PKU Muhammadiyah Gamping Yogyakarta</w:t>
      </w:r>
      <w:r w:rsidRPr="0022401B">
        <w:rPr>
          <w:rFonts w:ascii="Arial Narrow" w:hAnsi="Arial Narrow" w:cs="Arial"/>
          <w:noProof/>
        </w:rPr>
        <w:t>. Universitas ’Aisyiyah. Yogyakarta.</w:t>
      </w:r>
    </w:p>
    <w:p w14:paraId="5EE3893F"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Roselina, E., Pinem, S., &amp; Rochimah. (2016). Hubungan_Jenis_Persalinan_dan_Prematuritas_dengan_. </w:t>
      </w:r>
      <w:r w:rsidRPr="0022401B">
        <w:rPr>
          <w:rFonts w:ascii="Arial Narrow" w:hAnsi="Arial Narrow" w:cs="Arial"/>
          <w:i/>
          <w:iCs/>
          <w:noProof/>
        </w:rPr>
        <w:t>Jurnal Vokasi Indonesia</w:t>
      </w:r>
      <w:r w:rsidRPr="0022401B">
        <w:rPr>
          <w:rFonts w:ascii="Arial Narrow" w:hAnsi="Arial Narrow" w:cs="Arial"/>
          <w:noProof/>
        </w:rPr>
        <w:t xml:space="preserve">, </w:t>
      </w:r>
      <w:r w:rsidRPr="0022401B">
        <w:rPr>
          <w:rFonts w:ascii="Arial Narrow" w:hAnsi="Arial Narrow" w:cs="Arial"/>
          <w:i/>
          <w:iCs/>
          <w:noProof/>
        </w:rPr>
        <w:t>1</w:t>
      </w:r>
      <w:r w:rsidRPr="0022401B">
        <w:rPr>
          <w:rFonts w:ascii="Arial Narrow" w:hAnsi="Arial Narrow" w:cs="Arial"/>
          <w:noProof/>
        </w:rPr>
        <w:t>(1), 1–8.</w:t>
      </w:r>
    </w:p>
    <w:p w14:paraId="5A1511F9"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Rudolph, A. M., Hofman, J. I. E., &amp; Rudolph, C. D. (2015). </w:t>
      </w:r>
      <w:r w:rsidRPr="0022401B">
        <w:rPr>
          <w:rFonts w:ascii="Arial Narrow" w:hAnsi="Arial Narrow" w:cs="Arial"/>
          <w:i/>
          <w:iCs/>
          <w:noProof/>
        </w:rPr>
        <w:t>Buku Ajar PediatricRudolph (Buku kedokteran)</w:t>
      </w:r>
      <w:r w:rsidRPr="0022401B">
        <w:rPr>
          <w:rFonts w:ascii="Arial Narrow" w:hAnsi="Arial Narrow" w:cs="Arial"/>
          <w:noProof/>
        </w:rPr>
        <w:t>. Jakarta</w:t>
      </w:r>
      <w:r w:rsidRPr="0022401B">
        <w:rPr>
          <w:rFonts w:ascii="Arial" w:hAnsi="Arial" w:cs="Arial"/>
          <w:noProof/>
        </w:rPr>
        <w:t> </w:t>
      </w:r>
      <w:r w:rsidRPr="0022401B">
        <w:rPr>
          <w:rFonts w:ascii="Arial Narrow" w:hAnsi="Arial Narrow" w:cs="Arial"/>
          <w:noProof/>
        </w:rPr>
        <w:t>: Rineka Cipta.</w:t>
      </w:r>
    </w:p>
    <w:p w14:paraId="755F605C"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Saifuddin, A. . (2014). </w:t>
      </w:r>
      <w:r w:rsidRPr="0022401B">
        <w:rPr>
          <w:rFonts w:ascii="Arial Narrow" w:hAnsi="Arial Narrow" w:cs="Arial"/>
          <w:i/>
          <w:iCs/>
          <w:noProof/>
        </w:rPr>
        <w:t>Buku Acuan Nasional Pelayanan Kesehatan Maternal dan Neonatal</w:t>
      </w:r>
      <w:r w:rsidRPr="0022401B">
        <w:rPr>
          <w:rFonts w:ascii="Arial Narrow" w:hAnsi="Arial Narrow" w:cs="Arial"/>
          <w:noProof/>
        </w:rPr>
        <w:t>. Jakarta: PT Bina Sarwono Prawirohardjo.</w:t>
      </w:r>
    </w:p>
    <w:p w14:paraId="6700A0A1"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Sugiyono. (2016). Research Methods Quantitative, Qualitative, and R&amp;D. In </w:t>
      </w:r>
      <w:r w:rsidRPr="0022401B">
        <w:rPr>
          <w:rFonts w:ascii="Arial Narrow" w:hAnsi="Arial Narrow" w:cs="Arial"/>
          <w:i/>
          <w:iCs/>
          <w:noProof/>
        </w:rPr>
        <w:t>Bandung: Alfabeta</w:t>
      </w:r>
      <w:r w:rsidRPr="0022401B">
        <w:rPr>
          <w:rFonts w:ascii="Arial Narrow" w:hAnsi="Arial Narrow" w:cs="Arial"/>
          <w:noProof/>
        </w:rPr>
        <w:t>.</w:t>
      </w:r>
    </w:p>
    <w:p w14:paraId="1E1F4065"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Syapitri, H., Amila, &amp; Aritonang, J. (2021). </w:t>
      </w:r>
      <w:r w:rsidRPr="0022401B">
        <w:rPr>
          <w:rFonts w:ascii="Arial Narrow" w:hAnsi="Arial Narrow" w:cs="Arial"/>
          <w:i/>
          <w:iCs/>
          <w:noProof/>
        </w:rPr>
        <w:t>Buku Ajar Metodologi Penelitian Kesehatan</w:t>
      </w:r>
      <w:r w:rsidRPr="0022401B">
        <w:rPr>
          <w:rFonts w:ascii="Arial Narrow" w:hAnsi="Arial Narrow" w:cs="Arial"/>
          <w:noProof/>
        </w:rPr>
        <w:t>. Malang: Ahlimedia Press.</w:t>
      </w:r>
    </w:p>
    <w:p w14:paraId="2FF6187E"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Teacher, T. (2012). </w:t>
      </w:r>
      <w:r w:rsidRPr="0022401B">
        <w:rPr>
          <w:rFonts w:ascii="Arial Narrow" w:hAnsi="Arial Narrow" w:cs="Arial"/>
          <w:i/>
          <w:iCs/>
          <w:noProof/>
        </w:rPr>
        <w:t>Asuhan Kebidanan pada Bayi Baru Lahir</w:t>
      </w:r>
      <w:r w:rsidRPr="0022401B">
        <w:rPr>
          <w:rFonts w:ascii="Arial Narrow" w:hAnsi="Arial Narrow" w:cs="Arial"/>
          <w:noProof/>
        </w:rPr>
        <w:t>. Yogyakarta: Pustaka Pelajar.</w:t>
      </w:r>
    </w:p>
    <w:p w14:paraId="0F165D4A"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Watchko, J. F., &amp; Tiribelli, C. (2013). Bilirubin-Induced Neurologic Damage — Mechanisms and Management Approaches. </w:t>
      </w:r>
      <w:r w:rsidRPr="0022401B">
        <w:rPr>
          <w:rFonts w:ascii="Arial Narrow" w:hAnsi="Arial Narrow" w:cs="Arial"/>
          <w:i/>
          <w:iCs/>
          <w:noProof/>
        </w:rPr>
        <w:t>New England Journal of Medicine</w:t>
      </w:r>
      <w:r w:rsidRPr="0022401B">
        <w:rPr>
          <w:rFonts w:ascii="Arial Narrow" w:hAnsi="Arial Narrow" w:cs="Arial"/>
          <w:noProof/>
        </w:rPr>
        <w:t xml:space="preserve">, </w:t>
      </w:r>
      <w:r w:rsidRPr="0022401B">
        <w:rPr>
          <w:rFonts w:ascii="Arial Narrow" w:hAnsi="Arial Narrow" w:cs="Arial"/>
          <w:i/>
          <w:iCs/>
          <w:noProof/>
        </w:rPr>
        <w:t>369</w:t>
      </w:r>
      <w:r w:rsidRPr="0022401B">
        <w:rPr>
          <w:rFonts w:ascii="Arial Narrow" w:hAnsi="Arial Narrow" w:cs="Arial"/>
          <w:noProof/>
        </w:rPr>
        <w:t xml:space="preserve">(21), 2021–2030. </w:t>
      </w:r>
      <w:hyperlink r:id="rId13" w:history="1">
        <w:r w:rsidRPr="0022401B">
          <w:rPr>
            <w:rStyle w:val="Hyperlink"/>
            <w:rFonts w:ascii="Arial Narrow" w:hAnsi="Arial Narrow" w:cs="Arial"/>
            <w:noProof/>
          </w:rPr>
          <w:t>https://doi.org/10.1056/nejmra1308124</w:t>
        </w:r>
      </w:hyperlink>
    </w:p>
    <w:p w14:paraId="6805863E" w14:textId="77777777" w:rsidR="0022401B" w:rsidRPr="0022401B" w:rsidRDefault="0022401B" w:rsidP="0022401B">
      <w:pPr>
        <w:widowControl w:val="0"/>
        <w:numPr>
          <w:ilvl w:val="0"/>
          <w:numId w:val="9"/>
        </w:numPr>
        <w:autoSpaceDE w:val="0"/>
        <w:autoSpaceDN w:val="0"/>
        <w:adjustRightInd w:val="0"/>
        <w:spacing w:after="0" w:line="276" w:lineRule="auto"/>
        <w:ind w:left="709" w:hanging="491"/>
        <w:jc w:val="both"/>
        <w:rPr>
          <w:rFonts w:ascii="Arial Narrow" w:hAnsi="Arial Narrow" w:cs="Arial"/>
          <w:noProof/>
        </w:rPr>
      </w:pPr>
      <w:r w:rsidRPr="0022401B">
        <w:rPr>
          <w:rFonts w:ascii="Arial Narrow" w:hAnsi="Arial Narrow" w:cs="Arial"/>
          <w:noProof/>
        </w:rPr>
        <w:t xml:space="preserve">Widagdo. (2012). </w:t>
      </w:r>
      <w:r w:rsidRPr="0022401B">
        <w:rPr>
          <w:rFonts w:ascii="Arial Narrow" w:hAnsi="Arial Narrow" w:cs="Arial"/>
          <w:i/>
          <w:iCs/>
          <w:noProof/>
        </w:rPr>
        <w:t>Tatalaksana Masalah Penyakit Anak dengan Ikterus</w:t>
      </w:r>
      <w:r w:rsidRPr="0022401B">
        <w:rPr>
          <w:rFonts w:ascii="Arial Narrow" w:hAnsi="Arial Narrow" w:cs="Arial"/>
          <w:noProof/>
        </w:rPr>
        <w:t>. Jakarta: CV. Agung Seto</w:t>
      </w:r>
    </w:p>
    <w:p w14:paraId="4A8C8B39" w14:textId="77777777" w:rsidR="0022401B" w:rsidRDefault="0022401B" w:rsidP="00A85622">
      <w:pPr>
        <w:spacing w:after="0" w:line="240" w:lineRule="auto"/>
        <w:rPr>
          <w:rFonts w:ascii="Arial Narrow" w:eastAsia="Times New Roman" w:hAnsi="Arial Narrow" w:cs="Times New Roman"/>
          <w:color w:val="000000"/>
          <w:kern w:val="0"/>
          <w14:ligatures w14:val="none"/>
        </w:rPr>
      </w:pPr>
    </w:p>
    <w:sectPr w:rsidR="0022401B" w:rsidSect="00C213DA">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7E9"/>
    <w:multiLevelType w:val="hybridMultilevel"/>
    <w:tmpl w:val="32F6573C"/>
    <w:lvl w:ilvl="0" w:tplc="EBFCE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347B6"/>
    <w:multiLevelType w:val="hybridMultilevel"/>
    <w:tmpl w:val="ADBCB6CC"/>
    <w:lvl w:ilvl="0" w:tplc="AA7AA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0D5260"/>
    <w:multiLevelType w:val="hybridMultilevel"/>
    <w:tmpl w:val="7D1CF8FA"/>
    <w:lvl w:ilvl="0" w:tplc="FFFFFFFF">
      <w:start w:val="1"/>
      <w:numFmt w:val="decimal"/>
      <w:lvlText w:val="%1."/>
      <w:lvlJc w:val="left"/>
      <w:pPr>
        <w:ind w:left="1080" w:hanging="360"/>
      </w:pPr>
    </w:lvl>
    <w:lvl w:ilvl="1" w:tplc="FFFFFFFF">
      <w:start w:val="1"/>
      <w:numFmt w:val="lowerLetter"/>
      <w:lvlText w:val="%2."/>
      <w:lvlJc w:val="left"/>
      <w:pPr>
        <w:ind w:left="1800" w:hanging="360"/>
      </w:pPr>
      <w:rPr>
        <w:b w: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AE82645"/>
    <w:multiLevelType w:val="hybridMultilevel"/>
    <w:tmpl w:val="1A7449F4"/>
    <w:lvl w:ilvl="0" w:tplc="C76ABDAE">
      <w:start w:val="1"/>
      <w:numFmt w:val="upperLetter"/>
      <w:lvlText w:val="%1."/>
      <w:lvlJc w:val="left"/>
      <w:pPr>
        <w:ind w:left="360" w:hanging="360"/>
      </w:pPr>
      <w:rPr>
        <w:rFonts w:hint="default"/>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E72971"/>
    <w:multiLevelType w:val="hybridMultilevel"/>
    <w:tmpl w:val="53C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68402F4F"/>
    <w:multiLevelType w:val="hybridMultilevel"/>
    <w:tmpl w:val="CB5AE094"/>
    <w:lvl w:ilvl="0" w:tplc="2F90F676">
      <w:start w:val="1"/>
      <w:numFmt w:val="decimal"/>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6F266266"/>
    <w:multiLevelType w:val="hybridMultilevel"/>
    <w:tmpl w:val="D9FC4F16"/>
    <w:lvl w:ilvl="0" w:tplc="6302D73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51B5425"/>
    <w:multiLevelType w:val="hybridMultilevel"/>
    <w:tmpl w:val="9C0ACD92"/>
    <w:lvl w:ilvl="0" w:tplc="B1769412">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35942084">
    <w:abstractNumId w:val="7"/>
  </w:num>
  <w:num w:numId="2" w16cid:durableId="191681504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bCs/>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3" w16cid:durableId="1034187559">
    <w:abstractNumId w:val="1"/>
  </w:num>
  <w:num w:numId="4" w16cid:durableId="913856255">
    <w:abstractNumId w:val="5"/>
  </w:num>
  <w:num w:numId="5" w16cid:durableId="849223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018003">
    <w:abstractNumId w:val="8"/>
  </w:num>
  <w:num w:numId="7" w16cid:durableId="1978409288">
    <w:abstractNumId w:val="9"/>
  </w:num>
  <w:num w:numId="8" w16cid:durableId="1917083653">
    <w:abstractNumId w:val="10"/>
  </w:num>
  <w:num w:numId="9" w16cid:durableId="735972989">
    <w:abstractNumId w:val="2"/>
  </w:num>
  <w:num w:numId="10" w16cid:durableId="389884709">
    <w:abstractNumId w:val="1"/>
  </w:num>
  <w:num w:numId="11" w16cid:durableId="1682004519">
    <w:abstractNumId w:val="1"/>
  </w:num>
  <w:num w:numId="12" w16cid:durableId="1586378560">
    <w:abstractNumId w:val="1"/>
  </w:num>
  <w:num w:numId="13" w16cid:durableId="1409957906">
    <w:abstractNumId w:val="6"/>
  </w:num>
  <w:num w:numId="14" w16cid:durableId="79536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22"/>
    <w:rsid w:val="0022401B"/>
    <w:rsid w:val="00417AA4"/>
    <w:rsid w:val="004524F5"/>
    <w:rsid w:val="00853B32"/>
    <w:rsid w:val="008D6EB7"/>
    <w:rsid w:val="009E21FD"/>
    <w:rsid w:val="00A85622"/>
    <w:rsid w:val="00A961D1"/>
    <w:rsid w:val="00B008E5"/>
    <w:rsid w:val="00C2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145F"/>
  <w15:chartTrackingRefBased/>
  <w15:docId w15:val="{360277EE-4336-4548-9F6A-2DE95DE8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6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85622"/>
    <w:rPr>
      <w:color w:val="0000FF"/>
      <w:u w:val="single"/>
    </w:rPr>
  </w:style>
  <w:style w:type="paragraph" w:styleId="NoSpacing">
    <w:name w:val="No Spacing"/>
    <w:link w:val="NoSpacingChar"/>
    <w:qFormat/>
    <w:rsid w:val="00A85622"/>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A85622"/>
    <w:rPr>
      <w:rFonts w:ascii="Calibri" w:eastAsia="Calibri" w:hAnsi="Calibri" w:cs="Times New Roman"/>
      <w:kern w:val="0"/>
      <w14:ligatures w14:val="none"/>
    </w:rPr>
  </w:style>
  <w:style w:type="paragraph" w:styleId="HTMLPreformatted">
    <w:name w:val="HTML Preformatted"/>
    <w:basedOn w:val="Normal"/>
    <w:link w:val="HTMLPreformattedChar"/>
    <w:uiPriority w:val="99"/>
    <w:unhideWhenUsed/>
    <w:rsid w:val="00A85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uiPriority w:val="99"/>
    <w:rsid w:val="00A85622"/>
    <w:rPr>
      <w:rFonts w:ascii="Courier New" w:eastAsia="Times New Roman" w:hAnsi="Courier New" w:cs="Times New Roman"/>
      <w:kern w:val="0"/>
      <w:sz w:val="20"/>
      <w:szCs w:val="20"/>
      <w:lang w:val="x-none" w:eastAsia="x-none"/>
      <w14:ligatures w14:val="none"/>
    </w:rPr>
  </w:style>
  <w:style w:type="paragraph" w:customStyle="1" w:styleId="IEEEHeading1">
    <w:name w:val="IEEE Heading 1"/>
    <w:basedOn w:val="Normal"/>
    <w:next w:val="Normal"/>
    <w:rsid w:val="0022401B"/>
    <w:pPr>
      <w:numPr>
        <w:numId w:val="3"/>
      </w:numPr>
      <w:adjustRightInd w:val="0"/>
      <w:snapToGrid w:val="0"/>
      <w:spacing w:before="180" w:after="60" w:line="240" w:lineRule="auto"/>
      <w:jc w:val="center"/>
    </w:pPr>
    <w:rPr>
      <w:rFonts w:ascii="Times New Roman" w:eastAsia="SimSun" w:hAnsi="Times New Roman" w:cs="Times New Roman"/>
      <w:smallCaps/>
      <w:kern w:val="0"/>
      <w:sz w:val="20"/>
      <w:szCs w:val="24"/>
      <w:lang w:val="en-AU" w:eastAsia="zh-CN"/>
      <w14:ligatures w14:val="none"/>
    </w:rPr>
  </w:style>
  <w:style w:type="numbering" w:customStyle="1" w:styleId="IEEEBullet1">
    <w:name w:val="IEEE Bullet 1"/>
    <w:basedOn w:val="NoList"/>
    <w:rsid w:val="0022401B"/>
    <w:pPr>
      <w:numPr>
        <w:numId w:val="1"/>
      </w:numPr>
    </w:pPr>
  </w:style>
  <w:style w:type="paragraph" w:customStyle="1" w:styleId="IEEEFigure">
    <w:name w:val="IEEE Figure"/>
    <w:basedOn w:val="Normal"/>
    <w:next w:val="Normal"/>
    <w:rsid w:val="0022401B"/>
    <w:pPr>
      <w:spacing w:after="0" w:line="240" w:lineRule="auto"/>
      <w:jc w:val="center"/>
    </w:pPr>
    <w:rPr>
      <w:rFonts w:ascii="Times New Roman" w:eastAsia="SimSun" w:hAnsi="Times New Roman" w:cs="Times New Roman"/>
      <w:kern w:val="0"/>
      <w:sz w:val="24"/>
      <w:szCs w:val="24"/>
      <w:lang w:val="en-AU" w:eastAsia="zh-CN"/>
      <w14:ligatures w14:val="none"/>
    </w:rPr>
  </w:style>
  <w:style w:type="character" w:customStyle="1" w:styleId="longtext">
    <w:name w:val="long_text"/>
    <w:basedOn w:val="DefaultParagraphFont"/>
    <w:rsid w:val="0022401B"/>
  </w:style>
  <w:style w:type="character" w:customStyle="1" w:styleId="mediumtext">
    <w:name w:val="medium_text"/>
    <w:basedOn w:val="DefaultParagraphFont"/>
    <w:rsid w:val="0022401B"/>
  </w:style>
  <w:style w:type="paragraph" w:styleId="ListParagraph">
    <w:name w:val="List Paragraph"/>
    <w:aliases w:val="Body of text,1.2 Dst...,List Paragraph1,sub-section,Colorful List - Accent 11,Heading 1 Char1,Gambar,Sub bab,SUB-TITLE,kepala,Body of text+1,Body of text+2,Body of text+3,List Paragraph11,Medium Grid 1 - Accent 21,SUBBAB1,skripsi"/>
    <w:basedOn w:val="Normal"/>
    <w:link w:val="ListParagraphChar"/>
    <w:uiPriority w:val="34"/>
    <w:qFormat/>
    <w:rsid w:val="0022401B"/>
    <w:pPr>
      <w:spacing w:after="0" w:line="240" w:lineRule="auto"/>
      <w:ind w:left="720"/>
    </w:pPr>
    <w:rPr>
      <w:rFonts w:ascii="Times New Roman" w:eastAsia="SimSun" w:hAnsi="Times New Roman" w:cs="Times New Roman"/>
      <w:kern w:val="0"/>
      <w:sz w:val="24"/>
      <w:szCs w:val="24"/>
      <w:lang w:val="en-AU" w:eastAsia="zh-CN"/>
      <w14:ligatures w14:val="none"/>
    </w:rPr>
  </w:style>
  <w:style w:type="character" w:customStyle="1" w:styleId="ListParagraphChar">
    <w:name w:val="List Paragraph Char"/>
    <w:aliases w:val="Body of text Char,1.2 Dst... Char,List Paragraph1 Char,sub-section Char,Colorful List - Accent 11 Char,Heading 1 Char1 Char,Gambar Char,Sub bab Char,SUB-TITLE Char,kepala Char,Body of text+1 Char,Body of text+2 Char,SUBBAB1 Char"/>
    <w:link w:val="ListParagraph"/>
    <w:uiPriority w:val="34"/>
    <w:qFormat/>
    <w:locked/>
    <w:rsid w:val="0022401B"/>
    <w:rPr>
      <w:rFonts w:ascii="Times New Roman" w:eastAsia="SimSun" w:hAnsi="Times New Roman" w:cs="Times New Roman"/>
      <w:kern w:val="0"/>
      <w:sz w:val="24"/>
      <w:szCs w:val="24"/>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3011">
      <w:bodyDiv w:val="1"/>
      <w:marLeft w:val="0"/>
      <w:marRight w:val="0"/>
      <w:marTop w:val="0"/>
      <w:marBottom w:val="0"/>
      <w:divBdr>
        <w:top w:val="none" w:sz="0" w:space="0" w:color="auto"/>
        <w:left w:val="none" w:sz="0" w:space="0" w:color="auto"/>
        <w:bottom w:val="none" w:sz="0" w:space="0" w:color="auto"/>
        <w:right w:val="none" w:sz="0" w:space="0" w:color="auto"/>
      </w:divBdr>
      <w:divsChild>
        <w:div w:id="445275342">
          <w:marLeft w:val="-108"/>
          <w:marRight w:val="0"/>
          <w:marTop w:val="0"/>
          <w:marBottom w:val="0"/>
          <w:divBdr>
            <w:top w:val="none" w:sz="0" w:space="0" w:color="auto"/>
            <w:left w:val="none" w:sz="0" w:space="0" w:color="auto"/>
            <w:bottom w:val="none" w:sz="0" w:space="0" w:color="auto"/>
            <w:right w:val="none" w:sz="0" w:space="0" w:color="auto"/>
          </w:divBdr>
        </w:div>
        <w:div w:id="570164582">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90/hijp.vi.154" TargetMode="External"/><Relationship Id="rId13" Type="http://schemas.openxmlformats.org/officeDocument/2006/relationships/hyperlink" Target="https://doi.org/10.1056/nejmra1308124" TargetMode="External"/><Relationship Id="rId3" Type="http://schemas.openxmlformats.org/officeDocument/2006/relationships/settings" Target="settings.xml"/><Relationship Id="rId7" Type="http://schemas.openxmlformats.org/officeDocument/2006/relationships/hyperlink" Target="https://doi.org/10.20473/pmnj.v5i2.13457" TargetMode="External"/><Relationship Id="rId12" Type="http://schemas.openxmlformats.org/officeDocument/2006/relationships/hyperlink" Target="https://doi.org/10.29406/jkmk.v8i2.2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203/2394-6040.ijcmph20184604" TargetMode="External"/><Relationship Id="rId11" Type="http://schemas.openxmlformats.org/officeDocument/2006/relationships/hyperlink" Target="https://doi.org/10.12968/bjom.2018.26.6.362" TargetMode="External"/><Relationship Id="rId5" Type="http://schemas.openxmlformats.org/officeDocument/2006/relationships/hyperlink" Target="mailto:citrahadi85@gmail.com" TargetMode="External"/><Relationship Id="rId15" Type="http://schemas.openxmlformats.org/officeDocument/2006/relationships/theme" Target="theme/theme1.xml"/><Relationship Id="rId10" Type="http://schemas.openxmlformats.org/officeDocument/2006/relationships/hyperlink" Target="https://doi.org/10.3889/oamjms.2018.319" TargetMode="External"/><Relationship Id="rId4" Type="http://schemas.openxmlformats.org/officeDocument/2006/relationships/webSettings" Target="webSettings.xml"/><Relationship Id="rId9" Type="http://schemas.openxmlformats.org/officeDocument/2006/relationships/hyperlink" Target="https://doi.org/10.12968/hmed.2017.78.12.6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2024-02-21T07:16:00Z</dcterms:created>
  <dcterms:modified xsi:type="dcterms:W3CDTF">2024-02-21T08:22:00Z</dcterms:modified>
</cp:coreProperties>
</file>