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0C65" w:rsidRDefault="00540C65" w:rsidP="00512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21"/>
        <w:jc w:val="center"/>
        <w:rPr>
          <w:rFonts w:ascii="Arial Narrow" w:hAnsi="Arial Narrow" w:cs="Times New Roman"/>
          <w:b/>
          <w:bCs/>
          <w:spacing w:val="2"/>
          <w:sz w:val="26"/>
          <w:szCs w:val="26"/>
        </w:rPr>
      </w:pPr>
      <w:r>
        <w:rPr>
          <w:rFonts w:ascii="Arial Narrow" w:hAnsi="Arial Narrow" w:cs="Times New Roman"/>
          <w:b/>
          <w:bCs/>
          <w:spacing w:val="2"/>
          <w:sz w:val="26"/>
          <w:szCs w:val="26"/>
        </w:rPr>
        <w:t>THE</w:t>
      </w:r>
      <w:r w:rsidRPr="00540C65">
        <w:rPr>
          <w:rFonts w:ascii="Arial Narrow" w:hAnsi="Arial Narrow" w:cs="Times New Roman"/>
          <w:b/>
          <w:bCs/>
          <w:spacing w:val="2"/>
          <w:sz w:val="26"/>
          <w:szCs w:val="26"/>
        </w:rPr>
        <w:t xml:space="preserve"> RELATIONSHIP BETWEEN PERCEPTION, MEDIA</w:t>
      </w:r>
      <w:r>
        <w:rPr>
          <w:rFonts w:ascii="Arial Narrow" w:hAnsi="Arial Narrow" w:cs="Times New Roman"/>
          <w:b/>
          <w:bCs/>
          <w:spacing w:val="2"/>
          <w:sz w:val="26"/>
          <w:szCs w:val="26"/>
        </w:rPr>
        <w:t xml:space="preserve">, </w:t>
      </w:r>
      <w:r w:rsidRPr="00540C65">
        <w:rPr>
          <w:rFonts w:ascii="Arial Narrow" w:hAnsi="Arial Narrow" w:cs="Times New Roman"/>
          <w:b/>
          <w:bCs/>
          <w:spacing w:val="2"/>
          <w:sz w:val="26"/>
          <w:szCs w:val="26"/>
        </w:rPr>
        <w:t xml:space="preserve">AND PEERS TOWARDS ADOLESCENTS' DECISION-MAKING IN CONSUMING </w:t>
      </w:r>
      <w:r>
        <w:rPr>
          <w:rFonts w:ascii="Arial Narrow" w:hAnsi="Arial Narrow" w:cs="Times New Roman"/>
          <w:b/>
          <w:bCs/>
          <w:spacing w:val="2"/>
          <w:sz w:val="26"/>
          <w:szCs w:val="26"/>
        </w:rPr>
        <w:t>IRON</w:t>
      </w:r>
      <w:r w:rsidRPr="00540C65">
        <w:rPr>
          <w:rFonts w:ascii="Arial Narrow" w:hAnsi="Arial Narrow" w:cs="Times New Roman"/>
          <w:b/>
          <w:bCs/>
          <w:spacing w:val="2"/>
          <w:sz w:val="26"/>
          <w:szCs w:val="26"/>
        </w:rPr>
        <w:t xml:space="preserve"> TABLETS</w:t>
      </w:r>
    </w:p>
    <w:p w:rsidR="00540C65" w:rsidRDefault="00540C65" w:rsidP="00DB382A">
      <w:pPr>
        <w:pStyle w:val="HTMLPreformatted"/>
        <w:ind w:left="284" w:right="1021"/>
        <w:rPr>
          <w:rStyle w:val="y2iqfc"/>
          <w:rFonts w:ascii="Arial Narrow" w:eastAsiaTheme="majorEastAsia" w:hAnsi="Arial Narrow"/>
          <w:sz w:val="22"/>
          <w:szCs w:val="22"/>
          <w:lang w:val="en"/>
        </w:rPr>
      </w:pPr>
    </w:p>
    <w:p w:rsidR="00540C65" w:rsidRPr="00540C65" w:rsidRDefault="00540C65" w:rsidP="00DB382A">
      <w:pPr>
        <w:pStyle w:val="HTMLPreformatted"/>
        <w:ind w:left="284" w:right="1021"/>
        <w:jc w:val="center"/>
        <w:rPr>
          <w:rStyle w:val="y2iqfc"/>
          <w:rFonts w:ascii="Arial Narrow" w:hAnsi="Arial Narrow"/>
          <w:b/>
          <w:bCs/>
          <w:sz w:val="22"/>
          <w:szCs w:val="22"/>
          <w:lang w:val="en"/>
        </w:rPr>
      </w:pPr>
      <w:r w:rsidRPr="00540C65">
        <w:rPr>
          <w:rStyle w:val="y2iqfc"/>
          <w:rFonts w:ascii="Arial Narrow" w:eastAsiaTheme="majorEastAsia" w:hAnsi="Arial Narrow"/>
          <w:b/>
          <w:bCs/>
          <w:sz w:val="22"/>
          <w:szCs w:val="22"/>
          <w:lang w:val="en"/>
        </w:rPr>
        <w:t xml:space="preserve">Nabila Amelia </w:t>
      </w:r>
      <w:proofErr w:type="spellStart"/>
      <w:r w:rsidRPr="00540C65">
        <w:rPr>
          <w:rStyle w:val="y2iqfc"/>
          <w:rFonts w:ascii="Arial Narrow" w:eastAsiaTheme="majorEastAsia" w:hAnsi="Arial Narrow"/>
          <w:b/>
          <w:bCs/>
          <w:sz w:val="22"/>
          <w:szCs w:val="22"/>
          <w:lang w:val="en"/>
        </w:rPr>
        <w:t>Hanisyah</w:t>
      </w:r>
      <w:proofErr w:type="spellEnd"/>
      <w:r w:rsidRPr="00540C65">
        <w:rPr>
          <w:rStyle w:val="y2iqfc"/>
          <w:rFonts w:ascii="Arial Narrow" w:eastAsiaTheme="majorEastAsia" w:hAnsi="Arial Narrow"/>
          <w:b/>
          <w:bCs/>
          <w:sz w:val="22"/>
          <w:szCs w:val="22"/>
          <w:lang w:val="en"/>
        </w:rPr>
        <w:t xml:space="preserve"> Putri</w:t>
      </w:r>
      <w:r w:rsidRPr="00540C65">
        <w:rPr>
          <w:rStyle w:val="y2iqfc"/>
          <w:rFonts w:ascii="Arial Narrow" w:eastAsiaTheme="majorEastAsia" w:hAnsi="Arial Narrow"/>
          <w:b/>
          <w:bCs/>
          <w:sz w:val="22"/>
          <w:szCs w:val="22"/>
          <w:vertAlign w:val="superscript"/>
          <w:lang w:val="en"/>
        </w:rPr>
        <w:t>1</w:t>
      </w:r>
      <w:r w:rsidRPr="00540C65">
        <w:rPr>
          <w:rStyle w:val="y2iqfc"/>
          <w:rFonts w:ascii="Arial Narrow" w:eastAsiaTheme="majorEastAsia" w:hAnsi="Arial Narrow"/>
          <w:b/>
          <w:bCs/>
          <w:sz w:val="22"/>
          <w:szCs w:val="22"/>
          <w:lang w:val="en"/>
        </w:rPr>
        <w:t xml:space="preserve">, </w:t>
      </w:r>
      <w:proofErr w:type="spellStart"/>
      <w:r w:rsidRPr="00540C65">
        <w:rPr>
          <w:rStyle w:val="y2iqfc"/>
          <w:rFonts w:ascii="Arial Narrow" w:eastAsiaTheme="majorEastAsia" w:hAnsi="Arial Narrow"/>
          <w:b/>
          <w:bCs/>
          <w:sz w:val="22"/>
          <w:szCs w:val="22"/>
          <w:lang w:val="en"/>
        </w:rPr>
        <w:t>Nis’atul</w:t>
      </w:r>
      <w:proofErr w:type="spellEnd"/>
      <w:r w:rsidRPr="00540C65">
        <w:rPr>
          <w:rStyle w:val="y2iqfc"/>
          <w:rFonts w:ascii="Arial Narrow" w:eastAsiaTheme="majorEastAsia" w:hAnsi="Arial Narrow"/>
          <w:b/>
          <w:bCs/>
          <w:sz w:val="22"/>
          <w:szCs w:val="22"/>
          <w:lang w:val="en"/>
        </w:rPr>
        <w:t xml:space="preserve"> Khoiroh</w:t>
      </w:r>
      <w:r w:rsidRPr="00540C65">
        <w:rPr>
          <w:rStyle w:val="y2iqfc"/>
          <w:rFonts w:ascii="Arial Narrow" w:eastAsiaTheme="majorEastAsia" w:hAnsi="Arial Narrow"/>
          <w:b/>
          <w:bCs/>
          <w:sz w:val="22"/>
          <w:szCs w:val="22"/>
          <w:vertAlign w:val="superscript"/>
          <w:lang w:val="en"/>
        </w:rPr>
        <w:t>2</w:t>
      </w:r>
      <w:r w:rsidRPr="00540C65">
        <w:rPr>
          <w:rStyle w:val="y2iqfc"/>
          <w:rFonts w:ascii="Arial Narrow" w:eastAsiaTheme="majorEastAsia" w:hAnsi="Arial Narrow"/>
          <w:b/>
          <w:bCs/>
          <w:sz w:val="22"/>
          <w:szCs w:val="22"/>
          <w:lang w:val="en"/>
        </w:rPr>
        <w:t>, Yuni Kurniawati</w:t>
      </w:r>
      <w:r w:rsidRPr="00540C65">
        <w:rPr>
          <w:rStyle w:val="y2iqfc"/>
          <w:rFonts w:ascii="Arial Narrow" w:eastAsiaTheme="majorEastAsia" w:hAnsi="Arial Narrow"/>
          <w:b/>
          <w:bCs/>
          <w:sz w:val="22"/>
          <w:szCs w:val="22"/>
          <w:vertAlign w:val="superscript"/>
          <w:lang w:val="en"/>
        </w:rPr>
        <w:t>3</w:t>
      </w:r>
      <w:r w:rsidRPr="00540C65">
        <w:rPr>
          <w:rStyle w:val="y2iqfc"/>
          <w:rFonts w:ascii="Arial Narrow" w:eastAsiaTheme="majorEastAsia" w:hAnsi="Arial Narrow"/>
          <w:b/>
          <w:bCs/>
          <w:sz w:val="22"/>
          <w:szCs w:val="22"/>
          <w:lang w:val="en"/>
        </w:rPr>
        <w:t xml:space="preserve">, </w:t>
      </w:r>
      <w:proofErr w:type="spellStart"/>
      <w:r w:rsidRPr="00540C65">
        <w:rPr>
          <w:rStyle w:val="y2iqfc"/>
          <w:rFonts w:ascii="Arial Narrow" w:eastAsiaTheme="majorEastAsia" w:hAnsi="Arial Narrow"/>
          <w:b/>
          <w:bCs/>
          <w:sz w:val="22"/>
          <w:szCs w:val="22"/>
          <w:lang w:val="en"/>
        </w:rPr>
        <w:t>Hesteria</w:t>
      </w:r>
      <w:proofErr w:type="spellEnd"/>
      <w:r w:rsidRPr="00540C65">
        <w:rPr>
          <w:rStyle w:val="y2iqfc"/>
          <w:rFonts w:ascii="Arial Narrow" w:eastAsiaTheme="majorEastAsia" w:hAnsi="Arial Narrow"/>
          <w:b/>
          <w:bCs/>
          <w:sz w:val="22"/>
          <w:szCs w:val="22"/>
          <w:lang w:val="en"/>
        </w:rPr>
        <w:t xml:space="preserve"> </w:t>
      </w:r>
      <w:proofErr w:type="spellStart"/>
      <w:r w:rsidRPr="00540C65">
        <w:rPr>
          <w:rStyle w:val="y2iqfc"/>
          <w:rFonts w:ascii="Arial Narrow" w:eastAsiaTheme="majorEastAsia" w:hAnsi="Arial Narrow"/>
          <w:b/>
          <w:bCs/>
          <w:sz w:val="22"/>
          <w:szCs w:val="22"/>
          <w:lang w:val="en"/>
        </w:rPr>
        <w:t>Friska</w:t>
      </w:r>
      <w:proofErr w:type="spellEnd"/>
      <w:r w:rsidRPr="00540C65">
        <w:rPr>
          <w:rStyle w:val="y2iqfc"/>
          <w:rFonts w:ascii="Arial Narrow" w:eastAsiaTheme="majorEastAsia" w:hAnsi="Arial Narrow"/>
          <w:b/>
          <w:bCs/>
          <w:sz w:val="22"/>
          <w:szCs w:val="22"/>
          <w:lang w:val="en"/>
        </w:rPr>
        <w:t xml:space="preserve"> </w:t>
      </w:r>
      <w:proofErr w:type="spellStart"/>
      <w:r w:rsidRPr="00540C65">
        <w:rPr>
          <w:rStyle w:val="y2iqfc"/>
          <w:rFonts w:ascii="Arial Narrow" w:eastAsiaTheme="majorEastAsia" w:hAnsi="Arial Narrow"/>
          <w:b/>
          <w:bCs/>
          <w:sz w:val="22"/>
          <w:szCs w:val="22"/>
          <w:lang w:val="en"/>
        </w:rPr>
        <w:t>Armynia</w:t>
      </w:r>
      <w:proofErr w:type="spellEnd"/>
      <w:r w:rsidRPr="00540C65">
        <w:rPr>
          <w:rStyle w:val="y2iqfc"/>
          <w:rFonts w:ascii="Arial Narrow" w:eastAsiaTheme="majorEastAsia" w:hAnsi="Arial Narrow"/>
          <w:b/>
          <w:bCs/>
          <w:sz w:val="22"/>
          <w:szCs w:val="22"/>
          <w:lang w:val="en"/>
        </w:rPr>
        <w:t xml:space="preserve"> Subratha</w:t>
      </w:r>
      <w:r w:rsidRPr="00540C65">
        <w:rPr>
          <w:rStyle w:val="y2iqfc"/>
          <w:rFonts w:ascii="Arial Narrow" w:eastAsiaTheme="majorEastAsia" w:hAnsi="Arial Narrow"/>
          <w:b/>
          <w:bCs/>
          <w:sz w:val="22"/>
          <w:szCs w:val="22"/>
          <w:vertAlign w:val="superscript"/>
          <w:lang w:val="en"/>
        </w:rPr>
        <w:t>4</w:t>
      </w:r>
    </w:p>
    <w:p w:rsidR="00732315" w:rsidRDefault="00732315" w:rsidP="00DB382A">
      <w:pPr>
        <w:pStyle w:val="HTMLPreformatted"/>
        <w:ind w:left="284" w:right="1021"/>
        <w:rPr>
          <w:rStyle w:val="y2iqfc"/>
          <w:rFonts w:ascii="Arial Narrow" w:hAnsi="Arial Narrow"/>
          <w:sz w:val="22"/>
          <w:szCs w:val="22"/>
          <w:lang w:val="en"/>
        </w:rPr>
      </w:pPr>
    </w:p>
    <w:p w:rsidR="00732315" w:rsidRDefault="00540C65" w:rsidP="00DB382A">
      <w:pPr>
        <w:pStyle w:val="HTMLPreformatted"/>
        <w:ind w:left="284" w:right="1021"/>
        <w:jc w:val="center"/>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t xml:space="preserve">Midwifery </w:t>
      </w:r>
      <w:r w:rsidR="00B46367">
        <w:rPr>
          <w:rStyle w:val="y2iqfc"/>
          <w:rFonts w:ascii="Arial Narrow" w:eastAsiaTheme="majorEastAsia" w:hAnsi="Arial Narrow"/>
          <w:sz w:val="22"/>
          <w:szCs w:val="22"/>
          <w:lang w:val="en"/>
        </w:rPr>
        <w:t>Department</w:t>
      </w:r>
      <w:r>
        <w:rPr>
          <w:rStyle w:val="y2iqfc"/>
          <w:rFonts w:ascii="Arial Narrow" w:eastAsiaTheme="majorEastAsia" w:hAnsi="Arial Narrow"/>
          <w:sz w:val="22"/>
          <w:szCs w:val="22"/>
          <w:lang w:val="en"/>
        </w:rPr>
        <w:t xml:space="preserve">, </w:t>
      </w:r>
      <w:r w:rsidR="00732315" w:rsidRPr="00732315">
        <w:rPr>
          <w:rStyle w:val="y2iqfc"/>
          <w:rFonts w:ascii="Arial Narrow" w:eastAsiaTheme="majorEastAsia" w:hAnsi="Arial Narrow"/>
          <w:sz w:val="22"/>
          <w:szCs w:val="22"/>
          <w:lang w:val="en"/>
        </w:rPr>
        <w:t xml:space="preserve">Faculty of </w:t>
      </w:r>
      <w:r>
        <w:rPr>
          <w:rStyle w:val="y2iqfc"/>
          <w:rFonts w:ascii="Arial Narrow" w:eastAsiaTheme="majorEastAsia" w:hAnsi="Arial Narrow"/>
          <w:sz w:val="22"/>
          <w:szCs w:val="22"/>
          <w:lang w:val="en"/>
        </w:rPr>
        <w:t>Medicine</w:t>
      </w:r>
      <w:r w:rsidR="00732315" w:rsidRPr="00732315">
        <w:rPr>
          <w:rStyle w:val="y2iqfc"/>
          <w:rFonts w:ascii="Arial Narrow" w:eastAsiaTheme="majorEastAsia" w:hAnsi="Arial Narrow"/>
          <w:sz w:val="22"/>
          <w:szCs w:val="22"/>
          <w:lang w:val="en"/>
        </w:rPr>
        <w:t xml:space="preserve">, </w:t>
      </w:r>
      <w:r w:rsidR="00B46367">
        <w:rPr>
          <w:rStyle w:val="y2iqfc"/>
          <w:rFonts w:ascii="Arial Narrow" w:eastAsiaTheme="majorEastAsia" w:hAnsi="Arial Narrow"/>
          <w:sz w:val="22"/>
          <w:szCs w:val="22"/>
          <w:lang w:val="en"/>
        </w:rPr>
        <w:t>Universitas Pendidikan Ganesha</w:t>
      </w:r>
      <w:r w:rsidR="00732315" w:rsidRPr="00732315">
        <w:rPr>
          <w:rStyle w:val="y2iqfc"/>
          <w:rFonts w:ascii="Arial Narrow" w:eastAsiaTheme="majorEastAsia" w:hAnsi="Arial Narrow"/>
          <w:sz w:val="22"/>
          <w:szCs w:val="22"/>
          <w:lang w:val="en"/>
        </w:rPr>
        <w:t xml:space="preserve">, </w:t>
      </w:r>
      <w:proofErr w:type="spellStart"/>
      <w:r>
        <w:rPr>
          <w:rStyle w:val="y2iqfc"/>
          <w:rFonts w:ascii="Arial Narrow" w:eastAsiaTheme="majorEastAsia" w:hAnsi="Arial Narrow"/>
          <w:sz w:val="22"/>
          <w:szCs w:val="22"/>
          <w:lang w:val="en"/>
        </w:rPr>
        <w:t>Singaraja</w:t>
      </w:r>
      <w:proofErr w:type="spellEnd"/>
      <w:r w:rsidR="00732315" w:rsidRPr="00732315">
        <w:rPr>
          <w:rStyle w:val="y2iqfc"/>
          <w:rFonts w:ascii="Arial Narrow" w:eastAsiaTheme="majorEastAsia" w:hAnsi="Arial Narrow"/>
          <w:sz w:val="22"/>
          <w:szCs w:val="22"/>
          <w:lang w:val="en"/>
        </w:rPr>
        <w:t xml:space="preserve">, </w:t>
      </w:r>
      <w:r>
        <w:rPr>
          <w:rStyle w:val="y2iqfc"/>
          <w:rFonts w:ascii="Arial Narrow" w:eastAsiaTheme="majorEastAsia" w:hAnsi="Arial Narrow"/>
          <w:sz w:val="22"/>
          <w:szCs w:val="22"/>
          <w:lang w:val="en"/>
        </w:rPr>
        <w:t>Bali</w:t>
      </w:r>
    </w:p>
    <w:p w:rsidR="00540C65" w:rsidRPr="00732315" w:rsidRDefault="00540C65" w:rsidP="00DB382A">
      <w:pPr>
        <w:pStyle w:val="HTMLPreformatted"/>
        <w:ind w:left="284" w:right="1021"/>
        <w:jc w:val="center"/>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t xml:space="preserve">Email correspondence: </w:t>
      </w:r>
      <w:hyperlink r:id="rId6" w:history="1">
        <w:r w:rsidRPr="007260FD">
          <w:rPr>
            <w:rStyle w:val="Hyperlink"/>
            <w:rFonts w:ascii="Arial Narrow" w:eastAsiaTheme="majorEastAsia" w:hAnsi="Arial Narrow"/>
            <w:sz w:val="22"/>
            <w:szCs w:val="22"/>
            <w:lang w:val="en"/>
          </w:rPr>
          <w:t>h.putri@undiksha.ac.id</w:t>
        </w:r>
      </w:hyperlink>
      <w:r>
        <w:rPr>
          <w:rStyle w:val="y2iqfc"/>
          <w:rFonts w:ascii="Arial Narrow" w:eastAsiaTheme="majorEastAsia" w:hAnsi="Arial Narrow"/>
          <w:sz w:val="22"/>
          <w:szCs w:val="22"/>
          <w:lang w:val="en"/>
        </w:rPr>
        <w:t xml:space="preserve"> </w:t>
      </w:r>
    </w:p>
    <w:p w:rsidR="00540C65" w:rsidRDefault="00540C65" w:rsidP="00DB382A">
      <w:pPr>
        <w:pStyle w:val="HTMLPreformatted"/>
        <w:ind w:left="284" w:right="1021"/>
        <w:rPr>
          <w:rStyle w:val="y2iqfc"/>
          <w:rFonts w:ascii="Arial Narrow" w:eastAsiaTheme="majorEastAsia" w:hAnsi="Arial Narrow"/>
          <w:sz w:val="22"/>
          <w:szCs w:val="22"/>
          <w:lang w:val="en"/>
        </w:rPr>
      </w:pPr>
    </w:p>
    <w:p w:rsidR="003B26B9" w:rsidRDefault="003B26B9" w:rsidP="00DB382A">
      <w:pPr>
        <w:widowControl w:val="0"/>
        <w:autoSpaceDE w:val="0"/>
        <w:autoSpaceDN w:val="0"/>
        <w:adjustRightInd w:val="0"/>
        <w:spacing w:before="3" w:after="0" w:line="276" w:lineRule="auto"/>
        <w:ind w:left="284" w:right="1021"/>
        <w:jc w:val="both"/>
        <w:rPr>
          <w:rFonts w:ascii="Arial Narrow" w:hAnsi="Arial Narrow" w:cs="Times New Roman"/>
          <w:b/>
          <w:bCs/>
          <w:spacing w:val="2"/>
        </w:rPr>
      </w:pPr>
      <w:r>
        <w:rPr>
          <w:rFonts w:ascii="Arial Narrow" w:hAnsi="Arial Narrow" w:cs="Times New Roman"/>
          <w:b/>
          <w:bCs/>
          <w:spacing w:val="2"/>
        </w:rPr>
        <w:t xml:space="preserve">ABSTRAK: </w:t>
      </w:r>
      <w:r w:rsidR="00540C65" w:rsidRPr="00540C65">
        <w:rPr>
          <w:rFonts w:ascii="Arial Narrow" w:hAnsi="Arial Narrow" w:cs="Times New Roman"/>
          <w:b/>
          <w:bCs/>
          <w:spacing w:val="2"/>
        </w:rPr>
        <w:t xml:space="preserve">HUBUNGAN PERSEPSI, PAPARAN MEDIA INFORMASI DAN TEMAN SEBAYA TERHADAP PENGAMBILAN KEPUTUSAN REMAJA DALAM MENGKONSUMSI </w:t>
      </w:r>
      <w:r>
        <w:rPr>
          <w:rFonts w:ascii="Arial Narrow" w:hAnsi="Arial Narrow" w:cs="Times New Roman"/>
          <w:b/>
          <w:bCs/>
          <w:spacing w:val="2"/>
        </w:rPr>
        <w:t>TABLET TAMBAH DARAH</w:t>
      </w:r>
      <w:r w:rsidR="00540C65" w:rsidRPr="00540C65">
        <w:rPr>
          <w:rFonts w:ascii="Arial Narrow" w:hAnsi="Arial Narrow" w:cs="Times New Roman"/>
          <w:b/>
          <w:bCs/>
          <w:spacing w:val="2"/>
        </w:rPr>
        <w:t xml:space="preserve"> </w:t>
      </w:r>
    </w:p>
    <w:p w:rsidR="003B26B9" w:rsidRDefault="003B26B9" w:rsidP="00DB382A">
      <w:pPr>
        <w:widowControl w:val="0"/>
        <w:autoSpaceDE w:val="0"/>
        <w:autoSpaceDN w:val="0"/>
        <w:adjustRightInd w:val="0"/>
        <w:spacing w:before="3" w:after="0" w:line="276" w:lineRule="auto"/>
        <w:ind w:left="284" w:right="1021"/>
        <w:jc w:val="both"/>
        <w:rPr>
          <w:rFonts w:ascii="Arial Narrow" w:hAnsi="Arial Narrow" w:cs="Times New Roman"/>
          <w:b/>
          <w:bCs/>
          <w:spacing w:val="2"/>
        </w:rPr>
      </w:pPr>
    </w:p>
    <w:p w:rsidR="00512927" w:rsidRDefault="00732315" w:rsidP="00512927">
      <w:pPr>
        <w:widowControl w:val="0"/>
        <w:autoSpaceDE w:val="0"/>
        <w:autoSpaceDN w:val="0"/>
        <w:adjustRightInd w:val="0"/>
        <w:spacing w:before="3" w:after="0" w:line="276" w:lineRule="auto"/>
        <w:ind w:left="284" w:right="1021"/>
        <w:jc w:val="both"/>
        <w:rPr>
          <w:rFonts w:ascii="Arial Narrow" w:hAnsi="Arial Narrow" w:cs="Arial"/>
          <w:color w:val="000000" w:themeColor="text1"/>
        </w:rPr>
      </w:pPr>
      <w:proofErr w:type="spellStart"/>
      <w:r w:rsidRPr="00512927">
        <w:rPr>
          <w:rFonts w:ascii="Arial Narrow" w:eastAsia="Arial Narrow" w:hAnsi="Arial Narrow" w:cs="Arial Narrow"/>
          <w:b/>
          <w:bCs/>
        </w:rPr>
        <w:t>L</w:t>
      </w:r>
      <w:r w:rsidRPr="00512927">
        <w:rPr>
          <w:rFonts w:ascii="Arial Narrow" w:eastAsia="Arial Narrow" w:hAnsi="Arial Narrow" w:cs="Arial Narrow"/>
          <w:b/>
          <w:bCs/>
          <w:spacing w:val="-4"/>
        </w:rPr>
        <w:t>a</w:t>
      </w:r>
      <w:r w:rsidRPr="00512927">
        <w:rPr>
          <w:rFonts w:ascii="Arial Narrow" w:eastAsia="Arial Narrow" w:hAnsi="Arial Narrow" w:cs="Arial Narrow"/>
          <w:b/>
          <w:bCs/>
          <w:spacing w:val="2"/>
        </w:rPr>
        <w:t>t</w:t>
      </w:r>
      <w:r w:rsidRPr="00512927">
        <w:rPr>
          <w:rFonts w:ascii="Arial Narrow" w:eastAsia="Arial Narrow" w:hAnsi="Arial Narrow" w:cs="Arial Narrow"/>
          <w:b/>
          <w:bCs/>
          <w:spacing w:val="-4"/>
        </w:rPr>
        <w:t>a</w:t>
      </w:r>
      <w:r w:rsidRPr="00512927">
        <w:rPr>
          <w:rFonts w:ascii="Arial Narrow" w:eastAsia="Arial Narrow" w:hAnsi="Arial Narrow" w:cs="Arial Narrow"/>
          <w:b/>
          <w:bCs/>
        </w:rPr>
        <w:t>r</w:t>
      </w:r>
      <w:proofErr w:type="spellEnd"/>
      <w:r w:rsidRPr="00512927">
        <w:rPr>
          <w:rFonts w:ascii="Arial Narrow" w:eastAsia="Arial Narrow" w:hAnsi="Arial Narrow" w:cs="Arial Narrow"/>
          <w:b/>
          <w:bCs/>
          <w:spacing w:val="17"/>
        </w:rPr>
        <w:t xml:space="preserve"> </w:t>
      </w:r>
      <w:proofErr w:type="spellStart"/>
      <w:r w:rsidRPr="00512927">
        <w:rPr>
          <w:rFonts w:ascii="Arial Narrow" w:eastAsia="Arial Narrow" w:hAnsi="Arial Narrow" w:cs="Arial Narrow"/>
          <w:b/>
          <w:bCs/>
          <w:spacing w:val="-1"/>
        </w:rPr>
        <w:t>B</w:t>
      </w:r>
      <w:r w:rsidRPr="00512927">
        <w:rPr>
          <w:rFonts w:ascii="Arial Narrow" w:eastAsia="Arial Narrow" w:hAnsi="Arial Narrow" w:cs="Arial Narrow"/>
          <w:b/>
          <w:bCs/>
          <w:spacing w:val="-4"/>
        </w:rPr>
        <w:t>e</w:t>
      </w:r>
      <w:r w:rsidRPr="00512927">
        <w:rPr>
          <w:rFonts w:ascii="Arial Narrow" w:eastAsia="Arial Narrow" w:hAnsi="Arial Narrow" w:cs="Arial Narrow"/>
          <w:b/>
          <w:bCs/>
          <w:spacing w:val="2"/>
        </w:rPr>
        <w:t>l</w:t>
      </w:r>
      <w:r w:rsidRPr="00512927">
        <w:rPr>
          <w:rFonts w:ascii="Arial Narrow" w:eastAsia="Arial Narrow" w:hAnsi="Arial Narrow" w:cs="Arial Narrow"/>
          <w:b/>
          <w:bCs/>
          <w:spacing w:val="-4"/>
        </w:rPr>
        <w:t>a</w:t>
      </w:r>
      <w:r w:rsidRPr="00512927">
        <w:rPr>
          <w:rFonts w:ascii="Arial Narrow" w:eastAsia="Arial Narrow" w:hAnsi="Arial Narrow" w:cs="Arial Narrow"/>
          <w:b/>
          <w:bCs/>
          <w:spacing w:val="4"/>
        </w:rPr>
        <w:t>k</w:t>
      </w:r>
      <w:r w:rsidRPr="00512927">
        <w:rPr>
          <w:rFonts w:ascii="Arial Narrow" w:eastAsia="Arial Narrow" w:hAnsi="Arial Narrow" w:cs="Arial Narrow"/>
          <w:b/>
          <w:bCs/>
          <w:spacing w:val="-4"/>
        </w:rPr>
        <w:t>a</w:t>
      </w:r>
      <w:r w:rsidRPr="00512927">
        <w:rPr>
          <w:rFonts w:ascii="Arial Narrow" w:eastAsia="Arial Narrow" w:hAnsi="Arial Narrow" w:cs="Arial Narrow"/>
          <w:b/>
          <w:bCs/>
        </w:rPr>
        <w:t>ng</w:t>
      </w:r>
      <w:proofErr w:type="spellEnd"/>
      <w:r w:rsidRPr="00512927">
        <w:rPr>
          <w:rFonts w:ascii="Arial Narrow" w:eastAsia="Arial Narrow" w:hAnsi="Arial Narrow" w:cs="Arial Narrow"/>
        </w:rPr>
        <w:t>:</w:t>
      </w:r>
      <w:r w:rsidR="00B46367">
        <w:rPr>
          <w:rFonts w:ascii="Arial Narrow" w:eastAsia="Arial Narrow" w:hAnsi="Arial Narrow" w:cs="Arial Narrow"/>
          <w:spacing w:val="18"/>
        </w:rPr>
        <w:t xml:space="preserve"> </w:t>
      </w:r>
      <w:r w:rsidR="003B26B9" w:rsidRPr="00512927">
        <w:rPr>
          <w:rFonts w:ascii="Arial Narrow" w:hAnsi="Arial Narrow" w:cs="Arial"/>
          <w:color w:val="000000" w:themeColor="text1"/>
        </w:rPr>
        <w:t xml:space="preserve">Anemia </w:t>
      </w:r>
      <w:proofErr w:type="spellStart"/>
      <w:r w:rsidR="003B26B9" w:rsidRPr="00512927">
        <w:rPr>
          <w:rFonts w:ascii="Arial Narrow" w:hAnsi="Arial Narrow" w:cs="Arial"/>
          <w:color w:val="000000" w:themeColor="text1"/>
        </w:rPr>
        <w:t>merupakan</w:t>
      </w:r>
      <w:proofErr w:type="spellEnd"/>
      <w:r w:rsidR="003B26B9" w:rsidRPr="00512927">
        <w:rPr>
          <w:rFonts w:ascii="Arial Narrow" w:hAnsi="Arial Narrow" w:cs="Arial"/>
          <w:color w:val="000000" w:themeColor="text1"/>
        </w:rPr>
        <w:t xml:space="preserve"> salah </w:t>
      </w:r>
      <w:proofErr w:type="spellStart"/>
      <w:r w:rsidR="003B26B9" w:rsidRPr="00512927">
        <w:rPr>
          <w:rFonts w:ascii="Arial Narrow" w:hAnsi="Arial Narrow" w:cs="Arial"/>
          <w:color w:val="000000" w:themeColor="text1"/>
        </w:rPr>
        <w:t>satu</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masalah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gizi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utama</w:t>
      </w:r>
      <w:proofErr w:type="spellEnd"/>
      <w:r w:rsidR="003B26B9" w:rsidRPr="00512927">
        <w:rPr>
          <w:rFonts w:ascii="Arial Narrow" w:hAnsi="Arial Narrow" w:cs="Arial"/>
          <w:color w:val="000000" w:themeColor="text1"/>
        </w:rPr>
        <w:t xml:space="preserve"> pada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putri</w:t>
      </w:r>
      <w:proofErr w:type="spellEnd"/>
      <w:r w:rsidR="003B26B9" w:rsidRPr="00512927">
        <w:rPr>
          <w:rFonts w:ascii="Arial Narrow" w:hAnsi="Arial Narrow" w:cs="Arial"/>
          <w:color w:val="000000" w:themeColor="text1"/>
        </w:rPr>
        <w:t xml:space="preserve"> di Indonesia </w:t>
      </w:r>
      <w:proofErr w:type="spellStart"/>
      <w:r w:rsidR="003B26B9" w:rsidRPr="00512927">
        <w:rPr>
          <w:rFonts w:ascii="Arial Narrow" w:hAnsi="Arial Narrow" w:cs="Arial"/>
          <w:color w:val="000000" w:themeColor="text1"/>
        </w:rPr>
        <w:t>dengan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prevalensi</w:t>
      </w:r>
      <w:proofErr w:type="spellEnd"/>
      <w:r w:rsidR="003B26B9" w:rsidRPr="00512927">
        <w:rPr>
          <w:rFonts w:ascii="Arial Narrow" w:hAnsi="Arial Narrow" w:cs="Arial"/>
          <w:color w:val="000000" w:themeColor="text1"/>
        </w:rPr>
        <w:t xml:space="preserve"> yang </w:t>
      </w:r>
      <w:proofErr w:type="spellStart"/>
      <w:r w:rsidR="003B26B9" w:rsidRPr="00512927">
        <w:rPr>
          <w:rFonts w:ascii="Arial Narrow" w:hAnsi="Arial Narrow" w:cs="Arial"/>
          <w:color w:val="000000" w:themeColor="text1"/>
        </w:rPr>
        <w:t>masih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tergolong</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tinggi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sehingga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menjadi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tantangan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serius</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bagi</w:t>
      </w:r>
      <w:proofErr w:type="spellEnd"/>
      <w:r w:rsidR="003B26B9" w:rsidRPr="00512927">
        <w:rPr>
          <w:rFonts w:ascii="Arial Narrow" w:hAnsi="Arial Narrow" w:cs="Arial"/>
          <w:color w:val="000000" w:themeColor="text1"/>
        </w:rPr>
        <w:t xml:space="preserve"> Upaya </w:t>
      </w:r>
      <w:proofErr w:type="spellStart"/>
      <w:r w:rsidR="003B26B9" w:rsidRPr="00512927">
        <w:rPr>
          <w:rFonts w:ascii="Arial Narrow" w:hAnsi="Arial Narrow" w:cs="Arial"/>
          <w:color w:val="000000" w:themeColor="text1"/>
        </w:rPr>
        <w:t>peningkatan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kualitas</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kesehatan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generasi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mendatang</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Pemberian</w:t>
      </w:r>
      <w:proofErr w:type="spellEnd"/>
      <w:r w:rsidR="003B26B9" w:rsidRPr="00512927">
        <w:rPr>
          <w:rFonts w:ascii="Arial Narrow" w:hAnsi="Arial Narrow" w:cs="Arial"/>
          <w:color w:val="000000" w:themeColor="text1"/>
        </w:rPr>
        <w:t xml:space="preserve"> Tablet </w:t>
      </w:r>
      <w:proofErr w:type="spellStart"/>
      <w:r w:rsidR="003B26B9" w:rsidRPr="00512927">
        <w:rPr>
          <w:rFonts w:ascii="Arial Narrow" w:hAnsi="Arial Narrow" w:cs="Arial"/>
          <w:color w:val="000000" w:themeColor="text1"/>
        </w:rPr>
        <w:t>Tambah</w:t>
      </w:r>
      <w:proofErr w:type="spellEnd"/>
      <w:r w:rsidR="003B26B9" w:rsidRPr="00512927">
        <w:rPr>
          <w:rFonts w:ascii="Arial Narrow" w:hAnsi="Arial Narrow" w:cs="Arial"/>
          <w:color w:val="000000" w:themeColor="text1"/>
        </w:rPr>
        <w:t xml:space="preserve"> Darah </w:t>
      </w:r>
      <w:proofErr w:type="spellStart"/>
      <w:r w:rsidR="003B26B9" w:rsidRPr="00512927">
        <w:rPr>
          <w:rFonts w:ascii="Arial Narrow" w:hAnsi="Arial Narrow" w:cs="Arial"/>
          <w:color w:val="000000" w:themeColor="text1"/>
        </w:rPr>
        <w:t>kepada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putri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diharapkan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dapat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memutus</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mata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rantai</w:t>
      </w:r>
      <w:proofErr w:type="spellEnd"/>
      <w:r w:rsidR="003B26B9" w:rsidRPr="00512927">
        <w:rPr>
          <w:rFonts w:ascii="Arial Narrow" w:hAnsi="Arial Narrow" w:cs="Arial"/>
          <w:color w:val="000000" w:themeColor="text1"/>
        </w:rPr>
        <w:t xml:space="preserve"> stunting, </w:t>
      </w:r>
      <w:proofErr w:type="spellStart"/>
      <w:r w:rsidR="003B26B9" w:rsidRPr="00512927">
        <w:rPr>
          <w:rFonts w:ascii="Arial Narrow" w:hAnsi="Arial Narrow" w:cs="Arial"/>
          <w:color w:val="000000" w:themeColor="text1"/>
        </w:rPr>
        <w:t>mengurangi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insiden</w:t>
      </w:r>
      <w:proofErr w:type="spellEnd"/>
      <w:r w:rsidR="003B26B9" w:rsidRPr="00512927">
        <w:rPr>
          <w:rFonts w:ascii="Arial Narrow" w:hAnsi="Arial Narrow" w:cs="Arial"/>
          <w:color w:val="000000" w:themeColor="text1"/>
        </w:rPr>
        <w:t xml:space="preserve"> anemia, dan </w:t>
      </w:r>
      <w:proofErr w:type="spellStart"/>
      <w:r w:rsidR="003B26B9" w:rsidRPr="00512927">
        <w:rPr>
          <w:rFonts w:ascii="Arial Narrow" w:hAnsi="Arial Narrow" w:cs="Arial"/>
          <w:color w:val="000000" w:themeColor="text1"/>
        </w:rPr>
        <w:t>meningkatkan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cadangan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zat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besi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dalam</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tubuh</w:t>
      </w:r>
      <w:proofErr w:type="spellEnd"/>
      <w:r w:rsidR="003B26B9" w:rsidRPr="00512927">
        <w:rPr>
          <w:rFonts w:ascii="Arial Narrow" w:hAnsi="Arial Narrow" w:cs="Arial"/>
          <w:color w:val="000000" w:themeColor="text1"/>
        </w:rPr>
        <w:t xml:space="preserve">. Hal </w:t>
      </w:r>
      <w:proofErr w:type="spellStart"/>
      <w:r w:rsidR="003B26B9" w:rsidRPr="00512927">
        <w:rPr>
          <w:rFonts w:ascii="Arial Narrow" w:hAnsi="Arial Narrow" w:cs="Arial"/>
          <w:color w:val="000000" w:themeColor="text1"/>
        </w:rPr>
        <w:t>ini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diharapkan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dapat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membekali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putri</w:t>
      </w:r>
      <w:proofErr w:type="spellEnd"/>
      <w:r w:rsidR="003B26B9" w:rsidRPr="00512927">
        <w:rPr>
          <w:rFonts w:ascii="Arial Narrow" w:hAnsi="Arial Narrow" w:cs="Arial"/>
          <w:color w:val="000000" w:themeColor="text1"/>
        </w:rPr>
        <w:t xml:space="preserve"> agar </w:t>
      </w:r>
      <w:proofErr w:type="spellStart"/>
      <w:r w:rsidR="003B26B9" w:rsidRPr="00512927">
        <w:rPr>
          <w:rFonts w:ascii="Arial Narrow" w:hAnsi="Arial Narrow" w:cs="Arial"/>
          <w:color w:val="000000" w:themeColor="text1"/>
        </w:rPr>
        <w:t>kelak</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menjadi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ibu</w:t>
      </w:r>
      <w:proofErr w:type="spellEnd"/>
      <w:r w:rsidR="003B26B9" w:rsidRPr="00512927">
        <w:rPr>
          <w:rFonts w:ascii="Arial Narrow" w:hAnsi="Arial Narrow" w:cs="Arial"/>
          <w:color w:val="000000" w:themeColor="text1"/>
        </w:rPr>
        <w:t xml:space="preserve"> yang </w:t>
      </w:r>
      <w:proofErr w:type="spellStart"/>
      <w:r w:rsidR="003B26B9" w:rsidRPr="00512927">
        <w:rPr>
          <w:rFonts w:ascii="Arial Narrow" w:hAnsi="Arial Narrow" w:cs="Arial"/>
          <w:color w:val="000000" w:themeColor="text1"/>
        </w:rPr>
        <w:t>mampu</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melahirkan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generasi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penerus</w:t>
      </w:r>
      <w:proofErr w:type="spellEnd"/>
      <w:r w:rsidR="003B26B9" w:rsidRPr="00512927">
        <w:rPr>
          <w:rFonts w:ascii="Arial Narrow" w:hAnsi="Arial Narrow" w:cs="Arial"/>
          <w:color w:val="000000" w:themeColor="text1"/>
        </w:rPr>
        <w:t xml:space="preserve"> yang </w:t>
      </w:r>
      <w:proofErr w:type="spellStart"/>
      <w:r w:rsidR="003B26B9" w:rsidRPr="00512927">
        <w:rPr>
          <w:rFonts w:ascii="Arial Narrow" w:hAnsi="Arial Narrow" w:cs="Arial"/>
          <w:color w:val="000000" w:themeColor="text1"/>
        </w:rPr>
        <w:t>sehat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berkualitas</w:t>
      </w:r>
      <w:proofErr w:type="spellEnd"/>
      <w:r w:rsidR="003B26B9" w:rsidRPr="00512927">
        <w:rPr>
          <w:rFonts w:ascii="Arial Narrow" w:hAnsi="Arial Narrow" w:cs="Arial"/>
          <w:color w:val="000000" w:themeColor="text1"/>
        </w:rPr>
        <w:t xml:space="preserve">, dan </w:t>
      </w:r>
      <w:proofErr w:type="spellStart"/>
      <w:r w:rsidR="003B26B9" w:rsidRPr="00512927">
        <w:rPr>
          <w:rFonts w:ascii="Arial Narrow" w:hAnsi="Arial Narrow" w:cs="Arial"/>
          <w:color w:val="000000" w:themeColor="text1"/>
        </w:rPr>
        <w:t>produktif</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Mengidentifikasi</w:t>
      </w:r>
      <w:proofErr w:type="spellEnd"/>
      <w:r w:rsidR="003B26B9" w:rsidRPr="00512927">
        <w:rPr>
          <w:rFonts w:ascii="Arial Narrow" w:hAnsi="Arial Narrow" w:cs="Arial"/>
          <w:color w:val="000000" w:themeColor="text1"/>
        </w:rPr>
        <w:t xml:space="preserve"> dan </w:t>
      </w:r>
      <w:proofErr w:type="spellStart"/>
      <w:r w:rsidR="003B26B9" w:rsidRPr="00512927">
        <w:rPr>
          <w:rFonts w:ascii="Arial Narrow" w:hAnsi="Arial Narrow" w:cs="Arial"/>
          <w:color w:val="000000" w:themeColor="text1"/>
        </w:rPr>
        <w:t>memahami</w:t>
      </w:r>
      <w:proofErr w:type="spellEnd"/>
      <w:r w:rsidR="003B26B9" w:rsidRPr="00512927">
        <w:rPr>
          <w:rFonts w:ascii="Arial Narrow" w:hAnsi="Arial Narrow" w:cs="Arial"/>
          <w:color w:val="000000" w:themeColor="text1"/>
        </w:rPr>
        <w:t xml:space="preserve"> factor yang </w:t>
      </w:r>
      <w:proofErr w:type="spellStart"/>
      <w:r w:rsidR="003B26B9" w:rsidRPr="00512927">
        <w:rPr>
          <w:rFonts w:ascii="Arial Narrow" w:hAnsi="Arial Narrow" w:cs="Arial"/>
          <w:color w:val="000000" w:themeColor="text1"/>
        </w:rPr>
        <w:t>berhubungan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dengan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keputusan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dalam</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mengkonsumsi</w:t>
      </w:r>
      <w:proofErr w:type="spellEnd"/>
      <w:r w:rsidR="003B26B9" w:rsidRPr="00512927">
        <w:rPr>
          <w:rFonts w:ascii="Arial Narrow" w:hAnsi="Arial Narrow" w:cs="Arial"/>
          <w:color w:val="000000" w:themeColor="text1"/>
        </w:rPr>
        <w:t xml:space="preserve"> tablet </w:t>
      </w:r>
      <w:proofErr w:type="spellStart"/>
      <w:r w:rsidR="003B26B9" w:rsidRPr="00512927">
        <w:rPr>
          <w:rFonts w:ascii="Arial Narrow" w:hAnsi="Arial Narrow" w:cs="Arial"/>
          <w:color w:val="000000" w:themeColor="text1"/>
        </w:rPr>
        <w:t>tambah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darah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dapat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berkontribusi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langsung</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dalam</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perancangan</w:t>
      </w:r>
      <w:proofErr w:type="spellEnd"/>
      <w:r w:rsidR="003B26B9" w:rsidRPr="00512927">
        <w:rPr>
          <w:rFonts w:ascii="Arial Narrow" w:hAnsi="Arial Narrow" w:cs="Arial"/>
          <w:color w:val="000000" w:themeColor="text1"/>
        </w:rPr>
        <w:t xml:space="preserve"> strategi </w:t>
      </w:r>
      <w:proofErr w:type="spellStart"/>
      <w:r w:rsidR="003B26B9" w:rsidRPr="00512927">
        <w:rPr>
          <w:rFonts w:ascii="Arial Narrow" w:hAnsi="Arial Narrow" w:cs="Arial"/>
          <w:color w:val="000000" w:themeColor="text1"/>
        </w:rPr>
        <w:t>efektif</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dalam</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rangka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meningkatkan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cakupan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konsumsi</w:t>
      </w:r>
      <w:proofErr w:type="spellEnd"/>
      <w:r w:rsidR="003B26B9" w:rsidRPr="00512927">
        <w:rPr>
          <w:rFonts w:ascii="Arial Narrow" w:hAnsi="Arial Narrow" w:cs="Arial"/>
          <w:color w:val="000000" w:themeColor="text1"/>
        </w:rPr>
        <w:t xml:space="preserve"> tablet </w:t>
      </w:r>
      <w:proofErr w:type="spellStart"/>
      <w:r w:rsidR="003B26B9" w:rsidRPr="00512927">
        <w:rPr>
          <w:rFonts w:ascii="Arial Narrow" w:hAnsi="Arial Narrow" w:cs="Arial"/>
          <w:color w:val="000000" w:themeColor="text1"/>
        </w:rPr>
        <w:t>tambah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darah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Serta </w:t>
      </w:r>
      <w:proofErr w:type="spellStart"/>
      <w:r w:rsidR="003B26B9" w:rsidRPr="00512927">
        <w:rPr>
          <w:rFonts w:ascii="Arial Narrow" w:hAnsi="Arial Narrow" w:cs="Arial"/>
          <w:color w:val="000000" w:themeColor="text1"/>
        </w:rPr>
        <w:t>secara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tidak</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langsung</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dapat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memperbaiki</w:t>
      </w:r>
      <w:proofErr w:type="spellEnd"/>
      <w:r w:rsidR="003B26B9" w:rsidRPr="00512927">
        <w:rPr>
          <w:rFonts w:ascii="Arial Narrow" w:hAnsi="Arial Narrow" w:cs="Arial"/>
          <w:color w:val="000000" w:themeColor="text1"/>
        </w:rPr>
        <w:t xml:space="preserve"> dan </w:t>
      </w:r>
      <w:proofErr w:type="spellStart"/>
      <w:r w:rsidR="003B26B9" w:rsidRPr="00512927">
        <w:rPr>
          <w:rFonts w:ascii="Arial Narrow" w:hAnsi="Arial Narrow" w:cs="Arial"/>
          <w:color w:val="000000" w:themeColor="text1"/>
        </w:rPr>
        <w:t>meningkatkan</w:t>
      </w:r>
      <w:proofErr w:type="spellEnd"/>
      <w:r w:rsidR="003B26B9" w:rsidRPr="00512927">
        <w:rPr>
          <w:rFonts w:ascii="Arial Narrow" w:hAnsi="Arial Narrow" w:cs="Arial"/>
          <w:color w:val="000000" w:themeColor="text1"/>
        </w:rPr>
        <w:t xml:space="preserve"> status </w:t>
      </w:r>
      <w:proofErr w:type="spellStart"/>
      <w:r w:rsidR="003B26B9" w:rsidRPr="00512927">
        <w:rPr>
          <w:rFonts w:ascii="Arial Narrow" w:hAnsi="Arial Narrow" w:cs="Arial"/>
          <w:color w:val="000000" w:themeColor="text1"/>
        </w:rPr>
        <w:t>gizi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w:t>
      </w:r>
    </w:p>
    <w:p w:rsidR="003B26B9" w:rsidRPr="00512927" w:rsidRDefault="00732315" w:rsidP="00512927">
      <w:pPr>
        <w:widowControl w:val="0"/>
        <w:autoSpaceDE w:val="0"/>
        <w:autoSpaceDN w:val="0"/>
        <w:adjustRightInd w:val="0"/>
        <w:spacing w:before="3" w:after="0" w:line="276" w:lineRule="auto"/>
        <w:ind w:left="284" w:right="1021"/>
        <w:jc w:val="both"/>
        <w:rPr>
          <w:rFonts w:ascii="Arial Narrow" w:hAnsi="Arial Narrow" w:cs="Arial"/>
          <w:color w:val="000000" w:themeColor="text1"/>
        </w:rPr>
      </w:pPr>
      <w:proofErr w:type="spellStart"/>
      <w:r w:rsidRPr="00512927">
        <w:rPr>
          <w:rFonts w:ascii="Arial Narrow" w:eastAsia="Arial Narrow" w:hAnsi="Arial Narrow" w:cs="Arial"/>
          <w:b/>
          <w:bCs/>
        </w:rPr>
        <w:t>Tu</w:t>
      </w:r>
      <w:r w:rsidRPr="00512927">
        <w:rPr>
          <w:rFonts w:ascii="Arial Narrow" w:eastAsia="Arial Narrow" w:hAnsi="Arial Narrow" w:cs="Arial"/>
          <w:b/>
          <w:bCs/>
          <w:spacing w:val="1"/>
        </w:rPr>
        <w:t>j</w:t>
      </w:r>
      <w:r w:rsidRPr="00512927">
        <w:rPr>
          <w:rFonts w:ascii="Arial Narrow" w:eastAsia="Arial Narrow" w:hAnsi="Arial Narrow" w:cs="Arial"/>
          <w:b/>
          <w:bCs/>
        </w:rPr>
        <w:t>u</w:t>
      </w:r>
      <w:r w:rsidRPr="00512927">
        <w:rPr>
          <w:rFonts w:ascii="Arial Narrow" w:eastAsia="Arial Narrow" w:hAnsi="Arial Narrow" w:cs="Arial"/>
          <w:b/>
          <w:bCs/>
          <w:spacing w:val="-4"/>
        </w:rPr>
        <w:t>a</w:t>
      </w:r>
      <w:r w:rsidRPr="00512927">
        <w:rPr>
          <w:rFonts w:ascii="Arial Narrow" w:eastAsia="Arial Narrow" w:hAnsi="Arial Narrow" w:cs="Arial"/>
          <w:b/>
          <w:bCs/>
        </w:rPr>
        <w:t>n</w:t>
      </w:r>
      <w:proofErr w:type="spellEnd"/>
      <w:r w:rsidRPr="00512927">
        <w:rPr>
          <w:rFonts w:ascii="Arial Narrow" w:eastAsia="Arial Narrow" w:hAnsi="Arial Narrow" w:cs="Arial"/>
          <w:b/>
          <w:bCs/>
        </w:rPr>
        <w:t>:</w:t>
      </w:r>
      <w:r w:rsidRPr="00512927">
        <w:rPr>
          <w:rFonts w:ascii="Arial Narrow" w:eastAsia="Arial Narrow" w:hAnsi="Arial Narrow" w:cs="Arial"/>
          <w:spacing w:val="18"/>
        </w:rPr>
        <w:t xml:space="preserve"> </w:t>
      </w:r>
      <w:proofErr w:type="spellStart"/>
      <w:r w:rsidR="003B26B9" w:rsidRPr="00512927">
        <w:rPr>
          <w:rFonts w:ascii="Arial Narrow" w:hAnsi="Arial Narrow" w:cs="Times New Roman"/>
          <w:color w:val="000000" w:themeColor="text1"/>
        </w:rPr>
        <w:t>Menganalisis</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hubungan</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persepsi</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paparan</w:t>
      </w:r>
      <w:proofErr w:type="spellEnd"/>
      <w:r w:rsidR="003B26B9" w:rsidRPr="00512927">
        <w:rPr>
          <w:rFonts w:ascii="Arial Narrow" w:hAnsi="Arial Narrow" w:cs="Times New Roman"/>
          <w:color w:val="000000" w:themeColor="text1"/>
        </w:rPr>
        <w:t xml:space="preserve"> media </w:t>
      </w:r>
      <w:proofErr w:type="spellStart"/>
      <w:r w:rsidR="003B26B9" w:rsidRPr="00512927">
        <w:rPr>
          <w:rFonts w:ascii="Arial Narrow" w:hAnsi="Arial Narrow" w:cs="Times New Roman"/>
          <w:color w:val="000000" w:themeColor="text1"/>
        </w:rPr>
        <w:t>informasi</w:t>
      </w:r>
      <w:proofErr w:type="spellEnd"/>
      <w:r w:rsidR="003B26B9" w:rsidRPr="00512927">
        <w:rPr>
          <w:rFonts w:ascii="Arial Narrow" w:hAnsi="Arial Narrow" w:cs="Times New Roman"/>
          <w:color w:val="000000" w:themeColor="text1"/>
        </w:rPr>
        <w:t xml:space="preserve"> dan </w:t>
      </w:r>
      <w:proofErr w:type="spellStart"/>
      <w:r w:rsidR="003B26B9" w:rsidRPr="00512927">
        <w:rPr>
          <w:rFonts w:ascii="Arial Narrow" w:hAnsi="Arial Narrow" w:cs="Times New Roman"/>
          <w:color w:val="000000" w:themeColor="text1"/>
        </w:rPr>
        <w:t>teman</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sebaya</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terhadap</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keputusan</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remaja</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dalam</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mengkonsumsi</w:t>
      </w:r>
      <w:proofErr w:type="spellEnd"/>
      <w:r w:rsidR="003B26B9" w:rsidRPr="00512927">
        <w:rPr>
          <w:rFonts w:ascii="Arial Narrow" w:hAnsi="Arial Narrow" w:cs="Times New Roman"/>
          <w:color w:val="000000" w:themeColor="text1"/>
        </w:rPr>
        <w:t xml:space="preserve"> tablet </w:t>
      </w:r>
      <w:proofErr w:type="spellStart"/>
      <w:r w:rsidR="003B26B9" w:rsidRPr="00512927">
        <w:rPr>
          <w:rFonts w:ascii="Arial Narrow" w:hAnsi="Arial Narrow" w:cs="Times New Roman"/>
          <w:color w:val="000000" w:themeColor="text1"/>
        </w:rPr>
        <w:t>tambah</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darah</w:t>
      </w:r>
      <w:proofErr w:type="spellEnd"/>
      <w:r w:rsidR="003B26B9" w:rsidRPr="00512927">
        <w:rPr>
          <w:rFonts w:ascii="Arial Narrow" w:hAnsi="Arial Narrow" w:cs="Times New Roman"/>
          <w:color w:val="000000" w:themeColor="text1"/>
        </w:rPr>
        <w:t>.</w:t>
      </w:r>
    </w:p>
    <w:p w:rsidR="003B26B9" w:rsidRPr="00512927" w:rsidRDefault="00732315" w:rsidP="00DB382A">
      <w:pPr>
        <w:widowControl w:val="0"/>
        <w:autoSpaceDE w:val="0"/>
        <w:autoSpaceDN w:val="0"/>
        <w:adjustRightInd w:val="0"/>
        <w:spacing w:before="3" w:after="0" w:line="276" w:lineRule="auto"/>
        <w:ind w:left="284" w:right="1021"/>
        <w:jc w:val="both"/>
        <w:rPr>
          <w:rFonts w:ascii="Arial Narrow" w:hAnsi="Arial Narrow" w:cs="Times New Roman"/>
          <w:b/>
          <w:bCs/>
          <w:spacing w:val="2"/>
        </w:rPr>
      </w:pPr>
      <w:proofErr w:type="spellStart"/>
      <w:r w:rsidRPr="00512927">
        <w:rPr>
          <w:rFonts w:ascii="Arial Narrow" w:eastAsia="Arial Narrow" w:hAnsi="Arial Narrow" w:cs="Arial Narrow"/>
          <w:b/>
          <w:bCs/>
          <w:spacing w:val="-2"/>
        </w:rPr>
        <w:t>M</w:t>
      </w:r>
      <w:r w:rsidRPr="00512927">
        <w:rPr>
          <w:rFonts w:ascii="Arial Narrow" w:eastAsia="Arial Narrow" w:hAnsi="Arial Narrow" w:cs="Arial Narrow"/>
          <w:b/>
          <w:bCs/>
        </w:rPr>
        <w:t>e</w:t>
      </w:r>
      <w:r w:rsidRPr="00512927">
        <w:rPr>
          <w:rFonts w:ascii="Arial Narrow" w:eastAsia="Arial Narrow" w:hAnsi="Arial Narrow" w:cs="Arial Narrow"/>
          <w:b/>
          <w:bCs/>
          <w:spacing w:val="1"/>
        </w:rPr>
        <w:t>t</w:t>
      </w:r>
      <w:r w:rsidRPr="00512927">
        <w:rPr>
          <w:rFonts w:ascii="Arial Narrow" w:eastAsia="Arial Narrow" w:hAnsi="Arial Narrow" w:cs="Arial Narrow"/>
          <w:b/>
          <w:bCs/>
          <w:spacing w:val="-4"/>
        </w:rPr>
        <w:t>o</w:t>
      </w:r>
      <w:r w:rsidRPr="00512927">
        <w:rPr>
          <w:rFonts w:ascii="Arial Narrow" w:eastAsia="Arial Narrow" w:hAnsi="Arial Narrow" w:cs="Arial Narrow"/>
          <w:b/>
          <w:bCs/>
          <w:spacing w:val="3"/>
        </w:rPr>
        <w:t>d</w:t>
      </w:r>
      <w:r w:rsidRPr="00512927">
        <w:rPr>
          <w:rFonts w:ascii="Arial Narrow" w:eastAsia="Arial Narrow" w:hAnsi="Arial Narrow" w:cs="Arial Narrow"/>
          <w:b/>
          <w:bCs/>
          <w:spacing w:val="-4"/>
        </w:rPr>
        <w:t>e</w:t>
      </w:r>
      <w:proofErr w:type="spellEnd"/>
      <w:r w:rsidRPr="00512927">
        <w:rPr>
          <w:rFonts w:ascii="Arial Narrow" w:eastAsia="Arial Narrow" w:hAnsi="Arial Narrow" w:cs="Arial Narrow"/>
          <w:b/>
          <w:bCs/>
        </w:rPr>
        <w:t>:</w:t>
      </w:r>
      <w:r w:rsidRPr="00512927">
        <w:rPr>
          <w:rFonts w:ascii="Arial Narrow" w:eastAsia="Arial Narrow" w:hAnsi="Arial Narrow" w:cs="Arial Narrow"/>
        </w:rPr>
        <w:t xml:space="preserve"> </w:t>
      </w:r>
      <w:r w:rsidRPr="00512927">
        <w:rPr>
          <w:rFonts w:ascii="Arial Narrow" w:eastAsia="Arial Narrow" w:hAnsi="Arial Narrow" w:cs="Arial Narrow"/>
          <w:spacing w:val="9"/>
        </w:rPr>
        <w:t xml:space="preserve"> </w:t>
      </w:r>
      <w:proofErr w:type="spellStart"/>
      <w:r w:rsidR="003B26B9" w:rsidRPr="00512927">
        <w:rPr>
          <w:rFonts w:ascii="Arial Narrow" w:hAnsi="Arial Narrow" w:cs="Times New Roman"/>
          <w:color w:val="000000" w:themeColor="text1"/>
          <w:lang w:val="sv-SE"/>
        </w:rPr>
        <w:t>Desain</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penelitian</w:t>
      </w:r>
      <w:proofErr w:type="spellEnd"/>
      <w:r w:rsidR="003B26B9" w:rsidRPr="00512927">
        <w:rPr>
          <w:rFonts w:ascii="Arial Narrow" w:hAnsi="Arial Narrow" w:cs="Times New Roman"/>
          <w:color w:val="000000" w:themeColor="text1"/>
          <w:lang w:val="sv-SE"/>
        </w:rPr>
        <w:t xml:space="preserve"> ini </w:t>
      </w:r>
      <w:proofErr w:type="spellStart"/>
      <w:r w:rsidR="003B26B9" w:rsidRPr="00512927">
        <w:rPr>
          <w:rFonts w:ascii="Arial Narrow" w:hAnsi="Arial Narrow" w:cs="Times New Roman"/>
          <w:color w:val="000000" w:themeColor="text1"/>
          <w:lang w:val="sv-SE"/>
        </w:rPr>
        <w:t>adalah</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kuantitatif</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dengan</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metode</w:t>
      </w:r>
      <w:proofErr w:type="spellEnd"/>
      <w:r w:rsidR="003B26B9" w:rsidRPr="00512927">
        <w:rPr>
          <w:rFonts w:ascii="Arial Narrow" w:hAnsi="Arial Narrow" w:cs="Times New Roman"/>
          <w:color w:val="000000" w:themeColor="text1"/>
          <w:lang w:val="sv-SE"/>
        </w:rPr>
        <w:t xml:space="preserve"> </w:t>
      </w:r>
      <w:r w:rsidR="003B26B9" w:rsidRPr="00512927">
        <w:rPr>
          <w:rFonts w:ascii="Arial Narrow" w:hAnsi="Arial Narrow" w:cs="Times New Roman"/>
          <w:i/>
          <w:iCs/>
          <w:color w:val="000000" w:themeColor="text1"/>
          <w:lang w:val="sv-SE"/>
        </w:rPr>
        <w:t>cross-</w:t>
      </w:r>
      <w:proofErr w:type="spellStart"/>
      <w:r w:rsidR="003B26B9" w:rsidRPr="00512927">
        <w:rPr>
          <w:rFonts w:ascii="Arial Narrow" w:hAnsi="Arial Narrow" w:cs="Times New Roman"/>
          <w:i/>
          <w:iCs/>
          <w:color w:val="000000" w:themeColor="text1"/>
          <w:lang w:val="sv-SE"/>
        </w:rPr>
        <w:t>sectional</w:t>
      </w:r>
      <w:proofErr w:type="spellEnd"/>
      <w:r w:rsidR="003B26B9" w:rsidRPr="00512927">
        <w:rPr>
          <w:rFonts w:ascii="Arial Narrow" w:hAnsi="Arial Narrow" w:cs="Times New Roman"/>
          <w:i/>
          <w:iCs/>
          <w:color w:val="000000" w:themeColor="text1"/>
          <w:lang w:val="sv-SE"/>
        </w:rPr>
        <w:t xml:space="preserve"> </w:t>
      </w:r>
      <w:proofErr w:type="spellStart"/>
      <w:r w:rsidR="003B26B9" w:rsidRPr="00512927">
        <w:rPr>
          <w:rFonts w:ascii="Arial Narrow" w:hAnsi="Arial Narrow" w:cs="Times New Roman"/>
          <w:i/>
          <w:iCs/>
          <w:color w:val="000000" w:themeColor="text1"/>
          <w:lang w:val="sv-SE"/>
        </w:rPr>
        <w:t>study</w:t>
      </w:r>
      <w:proofErr w:type="spellEnd"/>
      <w:r w:rsidR="003B26B9" w:rsidRPr="00512927">
        <w:rPr>
          <w:rFonts w:ascii="Arial Narrow" w:hAnsi="Arial Narrow" w:cs="Times New Roman"/>
          <w:color w:val="000000" w:themeColor="text1"/>
          <w:lang w:val="sv-SE"/>
        </w:rPr>
        <w:t xml:space="preserve">, yang </w:t>
      </w:r>
      <w:proofErr w:type="spellStart"/>
      <w:r w:rsidR="003B26B9" w:rsidRPr="00512927">
        <w:rPr>
          <w:rFonts w:ascii="Arial Narrow" w:hAnsi="Arial Narrow" w:cs="Times New Roman"/>
          <w:color w:val="000000" w:themeColor="text1"/>
          <w:lang w:val="sv-SE"/>
        </w:rPr>
        <w:t>mengkaji</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hubungan</w:t>
      </w:r>
      <w:proofErr w:type="spellEnd"/>
      <w:r w:rsidR="003B26B9" w:rsidRPr="00512927">
        <w:rPr>
          <w:rFonts w:ascii="Arial Narrow" w:hAnsi="Arial Narrow" w:cs="Times New Roman"/>
          <w:color w:val="000000" w:themeColor="text1"/>
          <w:lang w:val="sv-SE"/>
        </w:rPr>
        <w:t xml:space="preserve"> variabel </w:t>
      </w:r>
      <w:proofErr w:type="spellStart"/>
      <w:r w:rsidR="003B26B9" w:rsidRPr="00512927">
        <w:rPr>
          <w:rFonts w:ascii="Arial Narrow" w:hAnsi="Arial Narrow" w:cs="Times New Roman"/>
          <w:color w:val="000000" w:themeColor="text1"/>
          <w:lang w:val="sv-SE"/>
        </w:rPr>
        <w:t>persepsi</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paparan</w:t>
      </w:r>
      <w:proofErr w:type="spellEnd"/>
      <w:r w:rsidR="003B26B9" w:rsidRPr="00512927">
        <w:rPr>
          <w:rFonts w:ascii="Arial Narrow" w:hAnsi="Arial Narrow" w:cs="Times New Roman"/>
          <w:color w:val="000000" w:themeColor="text1"/>
          <w:lang w:val="sv-SE"/>
        </w:rPr>
        <w:t xml:space="preserve"> media </w:t>
      </w:r>
      <w:proofErr w:type="spellStart"/>
      <w:r w:rsidR="003B26B9" w:rsidRPr="00512927">
        <w:rPr>
          <w:rFonts w:ascii="Arial Narrow" w:hAnsi="Arial Narrow" w:cs="Times New Roman"/>
          <w:color w:val="000000" w:themeColor="text1"/>
          <w:lang w:val="sv-SE"/>
        </w:rPr>
        <w:t>informasi</w:t>
      </w:r>
      <w:proofErr w:type="spellEnd"/>
      <w:r w:rsidR="003B26B9" w:rsidRPr="00512927">
        <w:rPr>
          <w:rFonts w:ascii="Arial Narrow" w:hAnsi="Arial Narrow" w:cs="Times New Roman"/>
          <w:color w:val="000000" w:themeColor="text1"/>
          <w:lang w:val="sv-SE"/>
        </w:rPr>
        <w:t xml:space="preserve"> dan teman </w:t>
      </w:r>
      <w:proofErr w:type="spellStart"/>
      <w:r w:rsidR="003B26B9" w:rsidRPr="00512927">
        <w:rPr>
          <w:rFonts w:ascii="Arial Narrow" w:hAnsi="Arial Narrow" w:cs="Times New Roman"/>
          <w:color w:val="000000" w:themeColor="text1"/>
          <w:lang w:val="sv-SE"/>
        </w:rPr>
        <w:t>sebaya</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terhadap</w:t>
      </w:r>
      <w:proofErr w:type="spellEnd"/>
      <w:r w:rsidR="003B26B9" w:rsidRPr="00512927">
        <w:rPr>
          <w:rFonts w:ascii="Arial Narrow" w:hAnsi="Arial Narrow" w:cs="Times New Roman"/>
          <w:color w:val="000000" w:themeColor="text1"/>
          <w:lang w:val="sv-SE"/>
        </w:rPr>
        <w:t xml:space="preserve"> variabel </w:t>
      </w:r>
      <w:proofErr w:type="spellStart"/>
      <w:r w:rsidR="003B26B9" w:rsidRPr="00512927">
        <w:rPr>
          <w:rFonts w:ascii="Arial Narrow" w:hAnsi="Arial Narrow" w:cs="Times New Roman"/>
          <w:color w:val="000000" w:themeColor="text1"/>
          <w:lang w:val="sv-SE"/>
        </w:rPr>
        <w:t>pengambilan</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keputusan</w:t>
      </w:r>
      <w:proofErr w:type="spellEnd"/>
      <w:r w:rsidR="003B26B9" w:rsidRPr="00512927">
        <w:rPr>
          <w:rFonts w:ascii="Arial Narrow" w:hAnsi="Arial Narrow" w:cs="Times New Roman"/>
          <w:color w:val="000000" w:themeColor="text1"/>
          <w:lang w:val="sv-SE"/>
        </w:rPr>
        <w:t xml:space="preserve">, Sampel </w:t>
      </w:r>
      <w:proofErr w:type="spellStart"/>
      <w:r w:rsidR="003B26B9" w:rsidRPr="00512927">
        <w:rPr>
          <w:rFonts w:ascii="Arial Narrow" w:hAnsi="Arial Narrow" w:cs="Times New Roman"/>
          <w:color w:val="000000" w:themeColor="text1"/>
          <w:lang w:val="sv-SE"/>
        </w:rPr>
        <w:t>penelitian</w:t>
      </w:r>
      <w:proofErr w:type="spellEnd"/>
      <w:r w:rsidR="003B26B9" w:rsidRPr="00512927">
        <w:rPr>
          <w:rFonts w:ascii="Arial Narrow" w:hAnsi="Arial Narrow" w:cs="Times New Roman"/>
          <w:color w:val="000000" w:themeColor="text1"/>
          <w:lang w:val="sv-SE"/>
        </w:rPr>
        <w:t xml:space="preserve"> ini </w:t>
      </w:r>
      <w:proofErr w:type="spellStart"/>
      <w:r w:rsidR="003B26B9" w:rsidRPr="00512927">
        <w:rPr>
          <w:rFonts w:ascii="Arial Narrow" w:hAnsi="Arial Narrow" w:cs="Times New Roman"/>
          <w:color w:val="000000" w:themeColor="text1"/>
          <w:lang w:val="sv-SE"/>
        </w:rPr>
        <w:t>adalah</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siswa</w:t>
      </w:r>
      <w:proofErr w:type="spellEnd"/>
      <w:r w:rsidR="003B26B9" w:rsidRPr="00512927">
        <w:rPr>
          <w:rFonts w:ascii="Arial Narrow" w:hAnsi="Arial Narrow" w:cs="Times New Roman"/>
          <w:color w:val="000000" w:themeColor="text1"/>
          <w:lang w:val="sv-SE"/>
        </w:rPr>
        <w:t xml:space="preserve"> SMP </w:t>
      </w:r>
      <w:proofErr w:type="spellStart"/>
      <w:r w:rsidR="003B26B9" w:rsidRPr="00512927">
        <w:rPr>
          <w:rFonts w:ascii="Arial Narrow" w:hAnsi="Arial Narrow" w:cs="Times New Roman"/>
          <w:color w:val="000000" w:themeColor="text1"/>
          <w:lang w:val="sv-SE"/>
        </w:rPr>
        <w:t>Muhammadiyah</w:t>
      </w:r>
      <w:proofErr w:type="spellEnd"/>
      <w:r w:rsidR="003B26B9" w:rsidRPr="00512927">
        <w:rPr>
          <w:rFonts w:ascii="Arial Narrow" w:hAnsi="Arial Narrow" w:cs="Times New Roman"/>
          <w:color w:val="000000" w:themeColor="text1"/>
          <w:lang w:val="sv-SE"/>
        </w:rPr>
        <w:t xml:space="preserve"> 2 </w:t>
      </w:r>
      <w:proofErr w:type="spellStart"/>
      <w:r w:rsidR="003B26B9" w:rsidRPr="00512927">
        <w:rPr>
          <w:rFonts w:ascii="Arial Narrow" w:hAnsi="Arial Narrow" w:cs="Times New Roman"/>
          <w:color w:val="000000" w:themeColor="text1"/>
          <w:lang w:val="sv-SE"/>
        </w:rPr>
        <w:t>Singaraja</w:t>
      </w:r>
      <w:proofErr w:type="spellEnd"/>
      <w:r w:rsidR="003B26B9" w:rsidRPr="00512927">
        <w:rPr>
          <w:rFonts w:ascii="Arial Narrow" w:hAnsi="Arial Narrow" w:cs="Times New Roman"/>
          <w:color w:val="000000" w:themeColor="text1"/>
          <w:lang w:val="sv-SE"/>
        </w:rPr>
        <w:t xml:space="preserve"> </w:t>
      </w:r>
      <w:proofErr w:type="spellStart"/>
      <w:r w:rsidR="003B26B9" w:rsidRPr="00512927">
        <w:rPr>
          <w:rFonts w:ascii="Arial Narrow" w:hAnsi="Arial Narrow" w:cs="Times New Roman"/>
          <w:color w:val="000000" w:themeColor="text1"/>
          <w:lang w:val="sv-SE"/>
        </w:rPr>
        <w:t>sebanyak</w:t>
      </w:r>
      <w:proofErr w:type="spellEnd"/>
      <w:r w:rsidR="003B26B9" w:rsidRPr="00512927">
        <w:rPr>
          <w:rFonts w:ascii="Arial Narrow" w:hAnsi="Arial Narrow" w:cs="Times New Roman"/>
          <w:color w:val="000000" w:themeColor="text1"/>
          <w:lang w:val="sv-SE"/>
        </w:rPr>
        <w:t xml:space="preserve"> 36 sampel. </w:t>
      </w:r>
      <w:r w:rsidR="003B26B9" w:rsidRPr="00512927">
        <w:rPr>
          <w:rFonts w:ascii="Arial Narrow" w:hAnsi="Arial Narrow" w:cs="Times New Roman"/>
          <w:color w:val="000000" w:themeColor="text1"/>
        </w:rPr>
        <w:t xml:space="preserve">Data </w:t>
      </w:r>
      <w:proofErr w:type="spellStart"/>
      <w:r w:rsidR="003B26B9" w:rsidRPr="00512927">
        <w:rPr>
          <w:rFonts w:ascii="Arial Narrow" w:hAnsi="Arial Narrow" w:cs="Times New Roman"/>
          <w:color w:val="000000" w:themeColor="text1"/>
        </w:rPr>
        <w:t>dikumpulkan</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menggunakan</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kuesioner</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terstruktur</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kemudian</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dianalisis</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dengan</w:t>
      </w:r>
      <w:proofErr w:type="spellEnd"/>
      <w:r w:rsidR="003B26B9" w:rsidRPr="00512927">
        <w:rPr>
          <w:rFonts w:ascii="Arial Narrow" w:hAnsi="Arial Narrow" w:cs="Times New Roman"/>
          <w:color w:val="000000" w:themeColor="text1"/>
        </w:rPr>
        <w:t xml:space="preserve"> uji chi-square pada </w:t>
      </w:r>
      <w:proofErr w:type="spellStart"/>
      <w:r w:rsidR="003B26B9" w:rsidRPr="00512927">
        <w:rPr>
          <w:rFonts w:ascii="Arial Narrow" w:hAnsi="Arial Narrow" w:cs="Times New Roman"/>
          <w:color w:val="000000" w:themeColor="text1"/>
        </w:rPr>
        <w:t>taraf</w:t>
      </w:r>
      <w:proofErr w:type="spellEnd"/>
      <w:r w:rsidR="003B26B9" w:rsidRPr="00512927">
        <w:rPr>
          <w:rFonts w:ascii="Arial Narrow" w:hAnsi="Arial Narrow" w:cs="Times New Roman"/>
          <w:color w:val="000000" w:themeColor="text1"/>
        </w:rPr>
        <w:t xml:space="preserve"> </w:t>
      </w:r>
      <w:proofErr w:type="spellStart"/>
      <w:r w:rsidR="003B26B9" w:rsidRPr="00512927">
        <w:rPr>
          <w:rFonts w:ascii="Arial Narrow" w:hAnsi="Arial Narrow" w:cs="Times New Roman"/>
          <w:color w:val="000000" w:themeColor="text1"/>
        </w:rPr>
        <w:t>signifikansi</w:t>
      </w:r>
      <w:proofErr w:type="spellEnd"/>
      <w:r w:rsidR="003B26B9" w:rsidRPr="00512927">
        <w:rPr>
          <w:rFonts w:ascii="Arial Narrow" w:hAnsi="Arial Narrow" w:cs="Times New Roman"/>
          <w:color w:val="000000" w:themeColor="text1"/>
        </w:rPr>
        <w:t xml:space="preserve"> 0,05.</w:t>
      </w:r>
    </w:p>
    <w:p w:rsidR="003B26B9" w:rsidRPr="00512927" w:rsidRDefault="00732315" w:rsidP="00DB382A">
      <w:pPr>
        <w:widowControl w:val="0"/>
        <w:autoSpaceDE w:val="0"/>
        <w:autoSpaceDN w:val="0"/>
        <w:adjustRightInd w:val="0"/>
        <w:spacing w:before="3" w:after="0" w:line="276" w:lineRule="auto"/>
        <w:ind w:left="284" w:right="1021"/>
        <w:jc w:val="both"/>
        <w:rPr>
          <w:rFonts w:ascii="Arial Narrow" w:hAnsi="Arial Narrow" w:cs="Times New Roman"/>
          <w:b/>
          <w:bCs/>
          <w:spacing w:val="2"/>
        </w:rPr>
      </w:pPr>
      <w:r w:rsidRPr="00512927">
        <w:rPr>
          <w:rFonts w:ascii="Arial Narrow" w:eastAsia="Arial Narrow" w:hAnsi="Arial Narrow" w:cs="Arial"/>
          <w:b/>
          <w:bCs/>
          <w:spacing w:val="-1"/>
        </w:rPr>
        <w:t>H</w:t>
      </w:r>
      <w:r w:rsidRPr="00512927">
        <w:rPr>
          <w:rFonts w:ascii="Arial Narrow" w:eastAsia="Arial Narrow" w:hAnsi="Arial Narrow" w:cs="Arial"/>
          <w:b/>
          <w:bCs/>
        </w:rPr>
        <w:t>a</w:t>
      </w:r>
      <w:r w:rsidRPr="00512927">
        <w:rPr>
          <w:rFonts w:ascii="Arial Narrow" w:eastAsia="Arial Narrow" w:hAnsi="Arial Narrow" w:cs="Arial"/>
          <w:b/>
          <w:bCs/>
          <w:spacing w:val="-4"/>
        </w:rPr>
        <w:t>s</w:t>
      </w:r>
      <w:r w:rsidRPr="00512927">
        <w:rPr>
          <w:rFonts w:ascii="Arial Narrow" w:eastAsia="Arial Narrow" w:hAnsi="Arial Narrow" w:cs="Arial"/>
          <w:b/>
          <w:bCs/>
          <w:spacing w:val="2"/>
        </w:rPr>
        <w:t>i</w:t>
      </w:r>
      <w:r w:rsidRPr="00512927">
        <w:rPr>
          <w:rFonts w:ascii="Arial Narrow" w:eastAsia="Arial Narrow" w:hAnsi="Arial Narrow" w:cs="Arial"/>
          <w:b/>
          <w:bCs/>
          <w:spacing w:val="3"/>
        </w:rPr>
        <w:t>l</w:t>
      </w:r>
      <w:r w:rsidRPr="00512927">
        <w:rPr>
          <w:rFonts w:ascii="Arial Narrow" w:eastAsia="Arial Narrow" w:hAnsi="Arial Narrow" w:cs="Arial"/>
          <w:b/>
          <w:bCs/>
        </w:rPr>
        <w:t>:</w:t>
      </w:r>
      <w:r w:rsidRPr="00512927">
        <w:rPr>
          <w:rFonts w:ascii="Arial Narrow" w:eastAsia="Arial Narrow" w:hAnsi="Arial Narrow" w:cs="Arial"/>
          <w:spacing w:val="17"/>
        </w:rPr>
        <w:t xml:space="preserve"> </w:t>
      </w:r>
      <w:r w:rsidR="003B26B9" w:rsidRPr="00512927">
        <w:rPr>
          <w:rFonts w:ascii="Arial Narrow" w:hAnsi="Arial Narrow" w:cs="Arial"/>
          <w:color w:val="000000" w:themeColor="text1"/>
        </w:rPr>
        <w:t xml:space="preserve">Hasil uji </w:t>
      </w:r>
      <w:r w:rsidR="003B26B9" w:rsidRPr="00512927">
        <w:rPr>
          <w:rFonts w:ascii="Arial Narrow" w:hAnsi="Arial Narrow" w:cs="Arial"/>
          <w:i/>
          <w:iCs/>
          <w:color w:val="000000" w:themeColor="text1"/>
        </w:rPr>
        <w:t>chi-square</w:t>
      </w:r>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menunjukkan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adanya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hubungan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antara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teman</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sebaya</w:t>
      </w:r>
      <w:proofErr w:type="spellEnd"/>
      <w:r w:rsidR="003B26B9" w:rsidRPr="00512927">
        <w:rPr>
          <w:rFonts w:ascii="Arial Narrow" w:hAnsi="Arial Narrow" w:cs="Arial"/>
          <w:color w:val="000000" w:themeColor="text1"/>
        </w:rPr>
        <w:t xml:space="preserve"> dan </w:t>
      </w:r>
      <w:proofErr w:type="spellStart"/>
      <w:r w:rsidR="003B26B9" w:rsidRPr="00512927">
        <w:rPr>
          <w:rFonts w:ascii="Arial Narrow" w:hAnsi="Arial Narrow" w:cs="Arial"/>
          <w:color w:val="000000" w:themeColor="text1"/>
        </w:rPr>
        <w:t>paparan</w:t>
      </w:r>
      <w:proofErr w:type="spellEnd"/>
      <w:r w:rsidR="003B26B9" w:rsidRPr="00512927">
        <w:rPr>
          <w:rFonts w:ascii="Arial Narrow" w:hAnsi="Arial Narrow" w:cs="Arial"/>
          <w:color w:val="000000" w:themeColor="text1"/>
        </w:rPr>
        <w:t xml:space="preserve"> media </w:t>
      </w:r>
      <w:proofErr w:type="spellStart"/>
      <w:r w:rsidR="003B26B9" w:rsidRPr="00512927">
        <w:rPr>
          <w:rFonts w:ascii="Arial Narrow" w:hAnsi="Arial Narrow" w:cs="Arial"/>
          <w:color w:val="000000" w:themeColor="text1"/>
        </w:rPr>
        <w:t>informasi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terhadap</w:t>
      </w:r>
      <w:proofErr w:type="spellEnd"/>
      <w:r w:rsidR="003B26B9" w:rsidRPr="00512927">
        <w:rPr>
          <w:rFonts w:ascii="Arial Narrow" w:hAnsi="Arial Narrow" w:cs="Arial"/>
          <w:color w:val="000000" w:themeColor="text1"/>
        </w:rPr>
        <w:t xml:space="preserve"> Keputusan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dalam</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mengkonsumsi</w:t>
      </w:r>
      <w:proofErr w:type="spellEnd"/>
      <w:r w:rsidR="003B26B9" w:rsidRPr="00512927">
        <w:rPr>
          <w:rFonts w:ascii="Arial Narrow" w:hAnsi="Arial Narrow" w:cs="Arial"/>
          <w:color w:val="000000" w:themeColor="text1"/>
        </w:rPr>
        <w:t xml:space="preserve"> tablet </w:t>
      </w:r>
      <w:proofErr w:type="spellStart"/>
      <w:r w:rsidR="003B26B9" w:rsidRPr="00512927">
        <w:rPr>
          <w:rFonts w:ascii="Arial Narrow" w:hAnsi="Arial Narrow" w:cs="Arial"/>
          <w:color w:val="000000" w:themeColor="text1"/>
        </w:rPr>
        <w:t>tambah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darah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Sedangkan</w:t>
      </w:r>
      <w:proofErr w:type="spellEnd"/>
      <w:r w:rsidR="003B26B9" w:rsidRPr="00512927">
        <w:rPr>
          <w:rFonts w:ascii="Arial Narrow" w:hAnsi="Arial Narrow" w:cs="Arial"/>
          <w:color w:val="000000" w:themeColor="text1"/>
        </w:rPr>
        <w:t xml:space="preserve"> pada variable </w:t>
      </w:r>
      <w:proofErr w:type="spellStart"/>
      <w:r w:rsidR="003B26B9" w:rsidRPr="00512927">
        <w:rPr>
          <w:rFonts w:ascii="Arial Narrow" w:hAnsi="Arial Narrow" w:cs="Arial"/>
          <w:color w:val="000000" w:themeColor="text1"/>
        </w:rPr>
        <w:t>persepsi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tidak</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terdapat</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hubungan</w:t>
      </w:r>
      <w:proofErr w:type="spellEnd"/>
      <w:r w:rsidR="003B26B9" w:rsidRPr="00512927">
        <w:rPr>
          <w:rFonts w:ascii="Arial Narrow" w:hAnsi="Arial Narrow" w:cs="Arial"/>
          <w:color w:val="000000" w:themeColor="text1"/>
        </w:rPr>
        <w:t xml:space="preserve"> yang </w:t>
      </w:r>
      <w:proofErr w:type="spellStart"/>
      <w:r w:rsidR="003B26B9" w:rsidRPr="00512927">
        <w:rPr>
          <w:rFonts w:ascii="Arial Narrow" w:hAnsi="Arial Narrow" w:cs="Arial"/>
          <w:color w:val="000000" w:themeColor="text1"/>
        </w:rPr>
        <w:t>berarti</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terhadap</w:t>
      </w:r>
      <w:proofErr w:type="spellEnd"/>
      <w:r w:rsidR="003B26B9" w:rsidRPr="00512927">
        <w:rPr>
          <w:rFonts w:ascii="Arial Narrow" w:hAnsi="Arial Narrow" w:cs="Arial"/>
          <w:color w:val="000000" w:themeColor="text1"/>
        </w:rPr>
        <w:t xml:space="preserve"> Keputusan </w:t>
      </w:r>
      <w:proofErr w:type="spellStart"/>
      <w:r w:rsidR="003B26B9" w:rsidRPr="00512927">
        <w:rPr>
          <w:rFonts w:ascii="Arial Narrow" w:hAnsi="Arial Narrow" w:cs="Arial"/>
          <w:color w:val="000000" w:themeColor="text1"/>
        </w:rPr>
        <w:t>remaja</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dalam</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mengkonsumsi</w:t>
      </w:r>
      <w:proofErr w:type="spellEnd"/>
      <w:r w:rsidR="003B26B9" w:rsidRPr="00512927">
        <w:rPr>
          <w:rFonts w:ascii="Arial Narrow" w:hAnsi="Arial Narrow" w:cs="Arial"/>
          <w:color w:val="000000" w:themeColor="text1"/>
        </w:rPr>
        <w:t xml:space="preserve"> tablet </w:t>
      </w:r>
      <w:proofErr w:type="spellStart"/>
      <w:r w:rsidR="003B26B9" w:rsidRPr="00512927">
        <w:rPr>
          <w:rFonts w:ascii="Arial Narrow" w:hAnsi="Arial Narrow" w:cs="Arial"/>
          <w:color w:val="000000" w:themeColor="text1"/>
        </w:rPr>
        <w:t>tambah</w:t>
      </w:r>
      <w:proofErr w:type="spellEnd"/>
      <w:r w:rsidR="003B26B9" w:rsidRPr="00512927">
        <w:rPr>
          <w:rFonts w:ascii="Arial Narrow" w:hAnsi="Arial Narrow" w:cs="Arial"/>
          <w:color w:val="000000" w:themeColor="text1"/>
        </w:rPr>
        <w:t xml:space="preserve"> </w:t>
      </w:r>
      <w:proofErr w:type="spellStart"/>
      <w:r w:rsidR="003B26B9" w:rsidRPr="00512927">
        <w:rPr>
          <w:rFonts w:ascii="Arial Narrow" w:hAnsi="Arial Narrow" w:cs="Arial"/>
          <w:color w:val="000000" w:themeColor="text1"/>
        </w:rPr>
        <w:t>darah</w:t>
      </w:r>
      <w:proofErr w:type="spellEnd"/>
      <w:r w:rsidR="003B26B9" w:rsidRPr="00512927">
        <w:rPr>
          <w:rFonts w:ascii="Arial Narrow" w:hAnsi="Arial Narrow" w:cs="Arial"/>
          <w:color w:val="000000" w:themeColor="text1"/>
        </w:rPr>
        <w:t xml:space="preserve">. </w:t>
      </w:r>
    </w:p>
    <w:p w:rsidR="003B26B9" w:rsidRPr="00512927" w:rsidRDefault="00732315" w:rsidP="00DB382A">
      <w:pPr>
        <w:widowControl w:val="0"/>
        <w:autoSpaceDE w:val="0"/>
        <w:autoSpaceDN w:val="0"/>
        <w:adjustRightInd w:val="0"/>
        <w:spacing w:before="3" w:after="0" w:line="276" w:lineRule="auto"/>
        <w:ind w:left="284" w:right="1021"/>
        <w:jc w:val="both"/>
        <w:rPr>
          <w:rFonts w:ascii="Arial Narrow" w:hAnsi="Arial Narrow" w:cs="Times New Roman"/>
          <w:b/>
          <w:bCs/>
          <w:spacing w:val="2"/>
        </w:rPr>
      </w:pPr>
      <w:r w:rsidRPr="00512927">
        <w:rPr>
          <w:rFonts w:ascii="Arial Narrow" w:eastAsia="Arial Narrow" w:hAnsi="Arial Narrow" w:cs="Arial Narrow"/>
          <w:b/>
          <w:bCs/>
          <w:spacing w:val="-1"/>
          <w:w w:val="102"/>
        </w:rPr>
        <w:t>K</w:t>
      </w:r>
      <w:r w:rsidRPr="00512927">
        <w:rPr>
          <w:rFonts w:ascii="Arial Narrow" w:eastAsia="Arial Narrow" w:hAnsi="Arial Narrow" w:cs="Arial Narrow"/>
          <w:b/>
          <w:bCs/>
          <w:w w:val="101"/>
        </w:rPr>
        <w:t>e</w:t>
      </w:r>
      <w:r w:rsidRPr="00512927">
        <w:rPr>
          <w:rFonts w:ascii="Arial Narrow" w:eastAsia="Arial Narrow" w:hAnsi="Arial Narrow" w:cs="Arial Narrow"/>
          <w:b/>
          <w:bCs/>
          <w:spacing w:val="-4"/>
          <w:w w:val="101"/>
        </w:rPr>
        <w:t>s</w:t>
      </w:r>
      <w:r w:rsidRPr="00512927">
        <w:rPr>
          <w:rFonts w:ascii="Arial Narrow" w:eastAsia="Arial Narrow" w:hAnsi="Arial Narrow" w:cs="Arial Narrow"/>
          <w:b/>
          <w:bCs/>
          <w:spacing w:val="2"/>
          <w:w w:val="101"/>
        </w:rPr>
        <w:t>i</w:t>
      </w:r>
      <w:r w:rsidRPr="00512927">
        <w:rPr>
          <w:rFonts w:ascii="Arial Narrow" w:eastAsia="Arial Narrow" w:hAnsi="Arial Narrow" w:cs="Arial Narrow"/>
          <w:b/>
          <w:bCs/>
          <w:spacing w:val="1"/>
          <w:w w:val="101"/>
        </w:rPr>
        <w:t>m</w:t>
      </w:r>
      <w:r w:rsidRPr="00512927">
        <w:rPr>
          <w:rFonts w:ascii="Arial Narrow" w:eastAsia="Arial Narrow" w:hAnsi="Arial Narrow" w:cs="Arial Narrow"/>
          <w:b/>
          <w:bCs/>
          <w:w w:val="102"/>
        </w:rPr>
        <w:t>pu</w:t>
      </w:r>
      <w:r w:rsidRPr="00512927">
        <w:rPr>
          <w:rFonts w:ascii="Arial Narrow" w:eastAsia="Arial Narrow" w:hAnsi="Arial Narrow" w:cs="Arial Narrow"/>
          <w:b/>
          <w:bCs/>
          <w:spacing w:val="1"/>
          <w:w w:val="102"/>
        </w:rPr>
        <w:t>l</w:t>
      </w:r>
      <w:r w:rsidRPr="00512927">
        <w:rPr>
          <w:rFonts w:ascii="Arial Narrow" w:eastAsia="Arial Narrow" w:hAnsi="Arial Narrow" w:cs="Arial Narrow"/>
          <w:b/>
          <w:bCs/>
          <w:spacing w:val="-4"/>
          <w:w w:val="101"/>
        </w:rPr>
        <w:t>a</w:t>
      </w:r>
      <w:r w:rsidRPr="00512927">
        <w:rPr>
          <w:rFonts w:ascii="Arial Narrow" w:eastAsia="Arial Narrow" w:hAnsi="Arial Narrow" w:cs="Arial Narrow"/>
          <w:b/>
          <w:bCs/>
          <w:w w:val="102"/>
        </w:rPr>
        <w:t>n</w:t>
      </w:r>
      <w:r w:rsidRPr="00512927">
        <w:rPr>
          <w:rFonts w:ascii="Arial Narrow" w:eastAsia="Arial Narrow" w:hAnsi="Arial Narrow" w:cs="Arial Narrow"/>
          <w:w w:val="102"/>
        </w:rPr>
        <w:t>:</w:t>
      </w:r>
      <w:r w:rsidRPr="00512927">
        <w:rPr>
          <w:rFonts w:ascii="Arial Narrow" w:eastAsia="Arial Narrow" w:hAnsi="Arial Narrow" w:cs="Arial Narrow"/>
          <w:spacing w:val="6"/>
        </w:rPr>
        <w:t xml:space="preserve"> </w:t>
      </w:r>
      <w:proofErr w:type="spellStart"/>
      <w:r w:rsidRPr="00512927">
        <w:rPr>
          <w:rFonts w:ascii="Arial Narrow" w:eastAsia="Arial Narrow" w:hAnsi="Arial Narrow" w:cs="Arial Narrow"/>
        </w:rPr>
        <w:t>Te</w:t>
      </w:r>
      <w:r w:rsidRPr="00512927">
        <w:rPr>
          <w:rFonts w:ascii="Arial Narrow" w:eastAsia="Arial Narrow" w:hAnsi="Arial Narrow" w:cs="Arial Narrow"/>
          <w:spacing w:val="1"/>
        </w:rPr>
        <w:t>r</w:t>
      </w:r>
      <w:r w:rsidRPr="00512927">
        <w:rPr>
          <w:rFonts w:ascii="Arial Narrow" w:eastAsia="Arial Narrow" w:hAnsi="Arial Narrow" w:cs="Arial Narrow"/>
          <w:spacing w:val="-4"/>
        </w:rPr>
        <w:t>d</w:t>
      </w:r>
      <w:r w:rsidRPr="00512927">
        <w:rPr>
          <w:rFonts w:ascii="Arial Narrow" w:eastAsia="Arial Narrow" w:hAnsi="Arial Narrow" w:cs="Arial Narrow"/>
        </w:rPr>
        <w:t>ap</w:t>
      </w:r>
      <w:r w:rsidRPr="00512927">
        <w:rPr>
          <w:rFonts w:ascii="Arial Narrow" w:eastAsia="Arial Narrow" w:hAnsi="Arial Narrow" w:cs="Arial Narrow"/>
          <w:spacing w:val="-4"/>
        </w:rPr>
        <w:t>a</w:t>
      </w:r>
      <w:r w:rsidRPr="00512927">
        <w:rPr>
          <w:rFonts w:ascii="Arial Narrow" w:eastAsia="Arial Narrow" w:hAnsi="Arial Narrow" w:cs="Arial Narrow"/>
        </w:rPr>
        <w:t>t</w:t>
      </w:r>
      <w:proofErr w:type="spellEnd"/>
      <w:r w:rsidRPr="00512927">
        <w:rPr>
          <w:rFonts w:ascii="Arial Narrow" w:eastAsia="Arial Narrow" w:hAnsi="Arial Narrow" w:cs="Arial Narrow"/>
          <w:spacing w:val="16"/>
        </w:rPr>
        <w:t xml:space="preserve"> </w:t>
      </w:r>
      <w:proofErr w:type="spellStart"/>
      <w:r w:rsidRPr="00512927">
        <w:rPr>
          <w:rFonts w:ascii="Arial Narrow" w:eastAsia="Arial Narrow" w:hAnsi="Arial Narrow" w:cs="Arial Narrow"/>
        </w:rPr>
        <w:t>hubun</w:t>
      </w:r>
      <w:r w:rsidRPr="00512927">
        <w:rPr>
          <w:rFonts w:ascii="Arial Narrow" w:eastAsia="Arial Narrow" w:hAnsi="Arial Narrow" w:cs="Arial Narrow"/>
          <w:spacing w:val="-4"/>
        </w:rPr>
        <w:t>g</w:t>
      </w:r>
      <w:r w:rsidRPr="00512927">
        <w:rPr>
          <w:rFonts w:ascii="Arial Narrow" w:eastAsia="Arial Narrow" w:hAnsi="Arial Narrow" w:cs="Arial Narrow"/>
        </w:rPr>
        <w:t>an</w:t>
      </w:r>
      <w:proofErr w:type="spellEnd"/>
      <w:r w:rsidRPr="00512927">
        <w:rPr>
          <w:rFonts w:ascii="Arial Narrow" w:eastAsia="Arial Narrow" w:hAnsi="Arial Narrow" w:cs="Arial Narrow"/>
          <w:spacing w:val="16"/>
        </w:rPr>
        <w:t xml:space="preserve"> </w:t>
      </w:r>
      <w:proofErr w:type="spellStart"/>
      <w:r w:rsidRPr="00512927">
        <w:rPr>
          <w:rFonts w:ascii="Arial Narrow" w:eastAsia="Arial Narrow" w:hAnsi="Arial Narrow" w:cs="Arial Narrow"/>
        </w:rPr>
        <w:t>p</w:t>
      </w:r>
      <w:r w:rsidRPr="00512927">
        <w:rPr>
          <w:rFonts w:ascii="Arial Narrow" w:eastAsia="Arial Narrow" w:hAnsi="Arial Narrow" w:cs="Arial Narrow"/>
          <w:spacing w:val="-4"/>
        </w:rPr>
        <w:t>o</w:t>
      </w:r>
      <w:r w:rsidRPr="00512927">
        <w:rPr>
          <w:rFonts w:ascii="Arial Narrow" w:eastAsia="Arial Narrow" w:hAnsi="Arial Narrow" w:cs="Arial Narrow"/>
          <w:spacing w:val="4"/>
        </w:rPr>
        <w:t>s</w:t>
      </w:r>
      <w:r w:rsidRPr="00512927">
        <w:rPr>
          <w:rFonts w:ascii="Arial Narrow" w:eastAsia="Arial Narrow" w:hAnsi="Arial Narrow" w:cs="Arial Narrow"/>
          <w:spacing w:val="-2"/>
        </w:rPr>
        <w:t>i</w:t>
      </w:r>
      <w:r w:rsidRPr="00512927">
        <w:rPr>
          <w:rFonts w:ascii="Arial Narrow" w:eastAsia="Arial Narrow" w:hAnsi="Arial Narrow" w:cs="Arial Narrow"/>
          <w:spacing w:val="2"/>
        </w:rPr>
        <w:t>t</w:t>
      </w:r>
      <w:r w:rsidRPr="00512927">
        <w:rPr>
          <w:rFonts w:ascii="Arial Narrow" w:eastAsia="Arial Narrow" w:hAnsi="Arial Narrow" w:cs="Arial Narrow"/>
          <w:spacing w:val="-2"/>
        </w:rPr>
        <w:t>i</w:t>
      </w:r>
      <w:r w:rsidRPr="00512927">
        <w:rPr>
          <w:rFonts w:ascii="Arial Narrow" w:eastAsia="Arial Narrow" w:hAnsi="Arial Narrow" w:cs="Arial Narrow"/>
        </w:rPr>
        <w:t>f</w:t>
      </w:r>
      <w:proofErr w:type="spellEnd"/>
      <w:r w:rsidRPr="00512927">
        <w:rPr>
          <w:rFonts w:ascii="Arial Narrow" w:eastAsia="Arial Narrow" w:hAnsi="Arial Narrow" w:cs="Arial Narrow"/>
          <w:spacing w:val="14"/>
        </w:rPr>
        <w:t xml:space="preserve"> </w:t>
      </w:r>
      <w:proofErr w:type="spellStart"/>
      <w:r w:rsidR="003B26B9" w:rsidRPr="00512927">
        <w:rPr>
          <w:rFonts w:ascii="Arial Narrow" w:eastAsia="Arial Narrow" w:hAnsi="Arial Narrow" w:cs="Arial Narrow"/>
          <w:spacing w:val="-4"/>
        </w:rPr>
        <w:t>antara</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teman</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sebaya</w:t>
      </w:r>
      <w:proofErr w:type="spellEnd"/>
      <w:r w:rsidR="003B26B9" w:rsidRPr="00512927">
        <w:rPr>
          <w:rFonts w:ascii="Arial Narrow" w:eastAsia="Arial Narrow" w:hAnsi="Arial Narrow" w:cs="Arial Narrow"/>
          <w:spacing w:val="-4"/>
        </w:rPr>
        <w:t xml:space="preserve"> dan </w:t>
      </w:r>
      <w:proofErr w:type="spellStart"/>
      <w:r w:rsidR="003B26B9" w:rsidRPr="00512927">
        <w:rPr>
          <w:rFonts w:ascii="Arial Narrow" w:eastAsia="Arial Narrow" w:hAnsi="Arial Narrow" w:cs="Arial Narrow"/>
          <w:spacing w:val="-4"/>
        </w:rPr>
        <w:t>paparan</w:t>
      </w:r>
      <w:proofErr w:type="spellEnd"/>
      <w:r w:rsidR="003B26B9" w:rsidRPr="00512927">
        <w:rPr>
          <w:rFonts w:ascii="Arial Narrow" w:eastAsia="Arial Narrow" w:hAnsi="Arial Narrow" w:cs="Arial Narrow"/>
          <w:spacing w:val="-4"/>
        </w:rPr>
        <w:t xml:space="preserve"> media </w:t>
      </w:r>
      <w:proofErr w:type="spellStart"/>
      <w:r w:rsidR="003B26B9" w:rsidRPr="00512927">
        <w:rPr>
          <w:rFonts w:ascii="Arial Narrow" w:eastAsia="Arial Narrow" w:hAnsi="Arial Narrow" w:cs="Arial Narrow"/>
          <w:spacing w:val="-4"/>
        </w:rPr>
        <w:t>informasi</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terhadap</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keputusan</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remaja</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untuk</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mengkonsumsi</w:t>
      </w:r>
      <w:proofErr w:type="spellEnd"/>
      <w:r w:rsidR="003B26B9" w:rsidRPr="00512927">
        <w:rPr>
          <w:rFonts w:ascii="Arial Narrow" w:eastAsia="Arial Narrow" w:hAnsi="Arial Narrow" w:cs="Arial Narrow"/>
          <w:spacing w:val="-4"/>
        </w:rPr>
        <w:t xml:space="preserve"> tablet </w:t>
      </w:r>
      <w:proofErr w:type="spellStart"/>
      <w:r w:rsidR="003B26B9" w:rsidRPr="00512927">
        <w:rPr>
          <w:rFonts w:ascii="Arial Narrow" w:eastAsia="Arial Narrow" w:hAnsi="Arial Narrow" w:cs="Arial Narrow"/>
          <w:spacing w:val="-4"/>
        </w:rPr>
        <w:t>tambah</w:t>
      </w:r>
      <w:proofErr w:type="spellEnd"/>
      <w:r w:rsidR="003B26B9" w:rsidRPr="00512927">
        <w:rPr>
          <w:rFonts w:ascii="Arial Narrow" w:eastAsia="Arial Narrow" w:hAnsi="Arial Narrow" w:cs="Arial Narrow"/>
          <w:spacing w:val="-4"/>
        </w:rPr>
        <w:t xml:space="preserve"> </w:t>
      </w:r>
      <w:proofErr w:type="spellStart"/>
      <w:r w:rsidR="003B26B9" w:rsidRPr="00512927">
        <w:rPr>
          <w:rFonts w:ascii="Arial Narrow" w:eastAsia="Arial Narrow" w:hAnsi="Arial Narrow" w:cs="Arial Narrow"/>
          <w:spacing w:val="-4"/>
        </w:rPr>
        <w:t>darah</w:t>
      </w:r>
      <w:proofErr w:type="spellEnd"/>
      <w:r w:rsidR="003B26B9" w:rsidRPr="00512927">
        <w:rPr>
          <w:rFonts w:ascii="Arial Narrow" w:eastAsia="Arial Narrow" w:hAnsi="Arial Narrow" w:cs="Arial Narrow"/>
          <w:spacing w:val="-4"/>
        </w:rPr>
        <w:t>.</w:t>
      </w:r>
    </w:p>
    <w:p w:rsidR="007F5A4B" w:rsidRDefault="00732315" w:rsidP="007F5A4B">
      <w:pPr>
        <w:widowControl w:val="0"/>
        <w:autoSpaceDE w:val="0"/>
        <w:autoSpaceDN w:val="0"/>
        <w:adjustRightInd w:val="0"/>
        <w:spacing w:before="3" w:after="0" w:line="276" w:lineRule="auto"/>
        <w:ind w:left="284" w:right="1021"/>
        <w:jc w:val="both"/>
        <w:rPr>
          <w:rFonts w:ascii="Arial Narrow" w:eastAsia="Arial Narrow" w:hAnsi="Arial Narrow" w:cs="Arial Narrow"/>
          <w:spacing w:val="-1"/>
          <w:w w:val="102"/>
        </w:rPr>
      </w:pPr>
      <w:r w:rsidRPr="00512927">
        <w:rPr>
          <w:rFonts w:ascii="Arial Narrow" w:eastAsia="Arial Narrow" w:hAnsi="Arial Narrow" w:cs="Arial Narrow"/>
          <w:b/>
          <w:bCs/>
          <w:spacing w:val="-1"/>
          <w:w w:val="102"/>
        </w:rPr>
        <w:t>Saran:</w:t>
      </w:r>
      <w:r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Penelitian</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selanjutnya</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dapat</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mengeksplorasi</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variabel</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terkait</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lainnya</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seperti</w:t>
      </w:r>
      <w:proofErr w:type="spellEnd"/>
      <w:r w:rsidR="003B26B9" w:rsidRPr="00512927">
        <w:rPr>
          <w:rFonts w:ascii="Arial Narrow" w:eastAsia="Arial Narrow" w:hAnsi="Arial Narrow" w:cs="Arial Narrow"/>
          <w:spacing w:val="-1"/>
          <w:w w:val="102"/>
        </w:rPr>
        <w:t xml:space="preserve"> status </w:t>
      </w:r>
      <w:proofErr w:type="spellStart"/>
      <w:r w:rsidR="003B26B9" w:rsidRPr="00512927">
        <w:rPr>
          <w:rFonts w:ascii="Arial Narrow" w:eastAsia="Arial Narrow" w:hAnsi="Arial Narrow" w:cs="Arial Narrow"/>
          <w:spacing w:val="-1"/>
          <w:w w:val="102"/>
        </w:rPr>
        <w:t>ekonomi</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keluarga</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akses</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ke</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layanan</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keseharan</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hingga</w:t>
      </w:r>
      <w:proofErr w:type="spellEnd"/>
      <w:r w:rsidR="003B26B9" w:rsidRPr="00512927">
        <w:rPr>
          <w:rFonts w:ascii="Arial Narrow" w:eastAsia="Arial Narrow" w:hAnsi="Arial Narrow" w:cs="Arial Narrow"/>
          <w:spacing w:val="-1"/>
          <w:w w:val="102"/>
        </w:rPr>
        <w:t xml:space="preserve"> </w:t>
      </w:r>
      <w:proofErr w:type="spellStart"/>
      <w:r w:rsidR="003B26B9" w:rsidRPr="00512927">
        <w:rPr>
          <w:rFonts w:ascii="Arial Narrow" w:eastAsia="Arial Narrow" w:hAnsi="Arial Narrow" w:cs="Arial Narrow"/>
          <w:spacing w:val="-1"/>
          <w:w w:val="102"/>
        </w:rPr>
        <w:t>budaya</w:t>
      </w:r>
      <w:proofErr w:type="spellEnd"/>
      <w:r w:rsidR="003B26B9" w:rsidRPr="00512927">
        <w:rPr>
          <w:rFonts w:ascii="Arial Narrow" w:eastAsia="Arial Narrow" w:hAnsi="Arial Narrow" w:cs="Arial Narrow"/>
          <w:spacing w:val="-1"/>
          <w:w w:val="102"/>
        </w:rPr>
        <w:t>/</w:t>
      </w:r>
      <w:proofErr w:type="spellStart"/>
      <w:r w:rsidR="003B26B9" w:rsidRPr="00512927">
        <w:rPr>
          <w:rFonts w:ascii="Arial Narrow" w:eastAsia="Arial Narrow" w:hAnsi="Arial Narrow" w:cs="Arial Narrow"/>
          <w:spacing w:val="-1"/>
          <w:w w:val="102"/>
        </w:rPr>
        <w:t>kepercayaan</w:t>
      </w:r>
      <w:proofErr w:type="spellEnd"/>
      <w:r w:rsidR="003B26B9" w:rsidRPr="00512927">
        <w:rPr>
          <w:rFonts w:ascii="Arial Narrow" w:eastAsia="Arial Narrow" w:hAnsi="Arial Narrow" w:cs="Arial Narrow"/>
          <w:spacing w:val="-1"/>
          <w:w w:val="102"/>
        </w:rPr>
        <w:t>.</w:t>
      </w:r>
    </w:p>
    <w:p w:rsidR="007F5A4B" w:rsidRPr="007F5A4B" w:rsidRDefault="007F5A4B" w:rsidP="007F5A4B">
      <w:pPr>
        <w:widowControl w:val="0"/>
        <w:autoSpaceDE w:val="0"/>
        <w:autoSpaceDN w:val="0"/>
        <w:adjustRightInd w:val="0"/>
        <w:spacing w:before="3" w:after="0" w:line="276" w:lineRule="auto"/>
        <w:ind w:left="284" w:right="1021"/>
        <w:jc w:val="both"/>
        <w:rPr>
          <w:rFonts w:ascii="Arial Narrow" w:eastAsia="Arial Narrow" w:hAnsi="Arial Narrow" w:cs="Arial Narrow"/>
          <w:spacing w:val="-1"/>
          <w:w w:val="102"/>
        </w:rPr>
      </w:pPr>
      <w:r>
        <w:rPr>
          <w:rFonts w:ascii="Arial Narrow" w:eastAsia="Arial Narrow" w:hAnsi="Arial Narrow" w:cs="Arial Narrow"/>
          <w:b/>
          <w:bCs/>
          <w:spacing w:val="-1"/>
          <w:w w:val="102"/>
        </w:rPr>
        <w:t xml:space="preserve">Kata </w:t>
      </w:r>
      <w:proofErr w:type="spellStart"/>
      <w:r>
        <w:rPr>
          <w:rFonts w:ascii="Arial Narrow" w:eastAsia="Arial Narrow" w:hAnsi="Arial Narrow" w:cs="Arial Narrow"/>
          <w:b/>
          <w:bCs/>
          <w:spacing w:val="-1"/>
          <w:w w:val="102"/>
        </w:rPr>
        <w:t>Kunci</w:t>
      </w:r>
      <w:proofErr w:type="spellEnd"/>
      <w:r>
        <w:rPr>
          <w:rFonts w:ascii="Arial Narrow" w:eastAsia="Arial Narrow" w:hAnsi="Arial Narrow" w:cs="Arial Narrow"/>
          <w:b/>
          <w:bCs/>
          <w:spacing w:val="-1"/>
          <w:w w:val="102"/>
        </w:rPr>
        <w:t xml:space="preserve">: </w:t>
      </w:r>
      <w:proofErr w:type="spellStart"/>
      <w:r w:rsidRPr="007F5A4B">
        <w:rPr>
          <w:rFonts w:ascii="Arial Narrow" w:eastAsia="Arial Narrow" w:hAnsi="Arial Narrow" w:cs="Arial Narrow"/>
          <w:spacing w:val="-1"/>
          <w:w w:val="102"/>
        </w:rPr>
        <w:t>Persepsi</w:t>
      </w:r>
      <w:proofErr w:type="spellEnd"/>
      <w:r w:rsidRPr="007F5A4B">
        <w:rPr>
          <w:rFonts w:ascii="Arial Narrow" w:eastAsia="Arial Narrow" w:hAnsi="Arial Narrow" w:cs="Arial Narrow"/>
          <w:spacing w:val="-1"/>
          <w:w w:val="102"/>
        </w:rPr>
        <w:t xml:space="preserve">, Media </w:t>
      </w:r>
      <w:proofErr w:type="spellStart"/>
      <w:r w:rsidRPr="007F5A4B">
        <w:rPr>
          <w:rFonts w:ascii="Arial Narrow" w:eastAsia="Arial Narrow" w:hAnsi="Arial Narrow" w:cs="Arial Narrow"/>
          <w:spacing w:val="-1"/>
          <w:w w:val="102"/>
        </w:rPr>
        <w:t>Informasi</w:t>
      </w:r>
      <w:proofErr w:type="spellEnd"/>
      <w:r w:rsidRPr="007F5A4B">
        <w:rPr>
          <w:rFonts w:ascii="Arial Narrow" w:eastAsia="Arial Narrow" w:hAnsi="Arial Narrow" w:cs="Arial Narrow"/>
          <w:spacing w:val="-1"/>
          <w:w w:val="102"/>
        </w:rPr>
        <w:t xml:space="preserve">, </w:t>
      </w:r>
      <w:proofErr w:type="spellStart"/>
      <w:r w:rsidRPr="007F5A4B">
        <w:rPr>
          <w:rFonts w:ascii="Arial Narrow" w:eastAsia="Arial Narrow" w:hAnsi="Arial Narrow" w:cs="Arial Narrow"/>
          <w:spacing w:val="-1"/>
          <w:w w:val="102"/>
        </w:rPr>
        <w:t>Teman</w:t>
      </w:r>
      <w:proofErr w:type="spellEnd"/>
      <w:r w:rsidRPr="007F5A4B">
        <w:rPr>
          <w:rFonts w:ascii="Arial Narrow" w:eastAsia="Arial Narrow" w:hAnsi="Arial Narrow" w:cs="Arial Narrow"/>
          <w:spacing w:val="-1"/>
          <w:w w:val="102"/>
        </w:rPr>
        <w:t xml:space="preserve"> </w:t>
      </w:r>
      <w:proofErr w:type="spellStart"/>
      <w:r w:rsidRPr="007F5A4B">
        <w:rPr>
          <w:rFonts w:ascii="Arial Narrow" w:eastAsia="Arial Narrow" w:hAnsi="Arial Narrow" w:cs="Arial Narrow"/>
          <w:spacing w:val="-1"/>
          <w:w w:val="102"/>
        </w:rPr>
        <w:t>Sebaya</w:t>
      </w:r>
      <w:proofErr w:type="spellEnd"/>
      <w:r w:rsidRPr="007F5A4B">
        <w:rPr>
          <w:rFonts w:ascii="Arial Narrow" w:eastAsia="Arial Narrow" w:hAnsi="Arial Narrow" w:cs="Arial Narrow"/>
          <w:spacing w:val="-1"/>
          <w:w w:val="102"/>
        </w:rPr>
        <w:t xml:space="preserve">, Tablet </w:t>
      </w:r>
      <w:proofErr w:type="spellStart"/>
      <w:r w:rsidRPr="007F5A4B">
        <w:rPr>
          <w:rFonts w:ascii="Arial Narrow" w:eastAsia="Arial Narrow" w:hAnsi="Arial Narrow" w:cs="Arial Narrow"/>
          <w:spacing w:val="-1"/>
          <w:w w:val="102"/>
        </w:rPr>
        <w:t>Tambah</w:t>
      </w:r>
      <w:proofErr w:type="spellEnd"/>
      <w:r w:rsidRPr="007F5A4B">
        <w:rPr>
          <w:rFonts w:ascii="Arial Narrow" w:eastAsia="Arial Narrow" w:hAnsi="Arial Narrow" w:cs="Arial Narrow"/>
          <w:spacing w:val="-1"/>
          <w:w w:val="102"/>
        </w:rPr>
        <w:t xml:space="preserve"> Darah</w:t>
      </w:r>
    </w:p>
    <w:p w:rsidR="00A12A31" w:rsidRPr="00512927" w:rsidRDefault="00A12A31" w:rsidP="00DB382A">
      <w:pPr>
        <w:widowControl w:val="0"/>
        <w:autoSpaceDE w:val="0"/>
        <w:autoSpaceDN w:val="0"/>
        <w:adjustRightInd w:val="0"/>
        <w:spacing w:before="3" w:after="0" w:line="276" w:lineRule="auto"/>
        <w:ind w:left="284" w:right="1021"/>
        <w:jc w:val="both"/>
        <w:rPr>
          <w:rFonts w:ascii="Arial Narrow" w:eastAsia="Arial Narrow" w:hAnsi="Arial Narrow" w:cs="Arial Narrow"/>
          <w:b/>
          <w:spacing w:val="-1"/>
        </w:rPr>
      </w:pPr>
    </w:p>
    <w:p w:rsidR="00A12A31" w:rsidRPr="00A12A31" w:rsidRDefault="00A12A31" w:rsidP="00DB382A">
      <w:pPr>
        <w:spacing w:before="9" w:line="220" w:lineRule="exact"/>
        <w:ind w:left="284" w:right="1021"/>
        <w:jc w:val="center"/>
        <w:rPr>
          <w:rFonts w:ascii="Arial Narrow" w:eastAsia="Arial Narrow" w:hAnsi="Arial Narrow" w:cs="Arial Narrow"/>
          <w:b/>
          <w:bCs/>
          <w:spacing w:val="-1"/>
        </w:rPr>
      </w:pPr>
      <w:r w:rsidRPr="00512927">
        <w:rPr>
          <w:rFonts w:ascii="Arial Narrow" w:eastAsia="Arial Narrow" w:hAnsi="Arial Narrow" w:cs="Arial Narrow"/>
          <w:b/>
          <w:bCs/>
          <w:spacing w:val="-1"/>
        </w:rPr>
        <w:t>ABSTRACT</w:t>
      </w:r>
    </w:p>
    <w:p w:rsidR="00A12A31" w:rsidRPr="00A12A31" w:rsidRDefault="00A12A31" w:rsidP="00DB382A">
      <w:pPr>
        <w:spacing w:before="9" w:line="220" w:lineRule="exact"/>
        <w:ind w:left="284" w:right="1021"/>
        <w:jc w:val="both"/>
        <w:rPr>
          <w:rFonts w:ascii="Arial Narrow" w:hAnsi="Arial Narrow" w:cs="Arial"/>
          <w:lang w:val="en-ID"/>
        </w:rPr>
      </w:pPr>
      <w:r w:rsidRPr="00A12A31">
        <w:rPr>
          <w:rFonts w:ascii="Arial Narrow" w:hAnsi="Arial Narrow" w:cs="Arial"/>
          <w:b/>
          <w:bCs/>
          <w:lang w:val="en-ID"/>
        </w:rPr>
        <w:t>Background</w:t>
      </w:r>
      <w:r w:rsidRPr="00A12A31">
        <w:rPr>
          <w:rFonts w:ascii="Arial Narrow" w:hAnsi="Arial Narrow" w:cs="Arial"/>
          <w:lang w:val="en-ID"/>
        </w:rPr>
        <w:t xml:space="preserve">: </w:t>
      </w:r>
      <w:proofErr w:type="spellStart"/>
      <w:r w:rsidRPr="00A12A31">
        <w:rPr>
          <w:rFonts w:ascii="Arial Narrow" w:hAnsi="Arial Narrow" w:cs="Arial"/>
          <w:lang w:val="en-ID"/>
        </w:rPr>
        <w:t>Anemia</w:t>
      </w:r>
      <w:proofErr w:type="spellEnd"/>
      <w:r w:rsidRPr="00A12A31">
        <w:rPr>
          <w:rFonts w:ascii="Arial Narrow" w:hAnsi="Arial Narrow" w:cs="Arial"/>
          <w:lang w:val="en-ID"/>
        </w:rPr>
        <w:t xml:space="preserve"> is one of the major nutritional problems among adolescent girls in Indonesia, with a relatively high prevalence, making it a serious challenge in efforts to improve the quality of health for future generations. The provision of iron-folic acid (IFA) supplements to adolescent girls is expected to break the cycle of stunting, reduce the incidence of </w:t>
      </w:r>
      <w:proofErr w:type="spellStart"/>
      <w:r w:rsidRPr="00A12A31">
        <w:rPr>
          <w:rFonts w:ascii="Arial Narrow" w:hAnsi="Arial Narrow" w:cs="Arial"/>
          <w:lang w:val="en-ID"/>
        </w:rPr>
        <w:t>anemia</w:t>
      </w:r>
      <w:proofErr w:type="spellEnd"/>
      <w:r w:rsidRPr="00A12A31">
        <w:rPr>
          <w:rFonts w:ascii="Arial Narrow" w:hAnsi="Arial Narrow" w:cs="Arial"/>
          <w:lang w:val="en-ID"/>
        </w:rPr>
        <w:t>, and increase iron reserves in the body. This is anticipated to equip adolescent girls so that in the future they can become mothers capable of giving birth to healthy, high-quality, and productive future generations. Identifying and understanding the factors related to adolescents’ decisions in consuming IFA tablets can directly contribute to the design of effective strategies to increase the coverage of IFA tablet consumption among adolescents, and indirectly improve and enhance their nutritional status.</w:t>
      </w:r>
    </w:p>
    <w:p w:rsidR="00A12A31" w:rsidRPr="00A12A31" w:rsidRDefault="00A12A31" w:rsidP="00DB382A">
      <w:pPr>
        <w:spacing w:before="9" w:line="220" w:lineRule="exact"/>
        <w:ind w:left="284" w:right="1021"/>
        <w:jc w:val="both"/>
        <w:rPr>
          <w:rFonts w:ascii="Arial Narrow" w:hAnsi="Arial Narrow" w:cs="Arial"/>
          <w:lang w:val="en-ID"/>
        </w:rPr>
      </w:pPr>
      <w:r w:rsidRPr="00512927">
        <w:rPr>
          <w:rFonts w:ascii="Arial Narrow" w:hAnsi="Arial Narrow" w:cs="Arial"/>
          <w:b/>
          <w:bCs/>
          <w:lang w:val="en-ID"/>
        </w:rPr>
        <w:t>Purpose</w:t>
      </w:r>
      <w:r w:rsidRPr="00A12A31">
        <w:rPr>
          <w:rFonts w:ascii="Arial Narrow" w:hAnsi="Arial Narrow" w:cs="Arial"/>
          <w:b/>
          <w:bCs/>
          <w:lang w:val="en-ID"/>
        </w:rPr>
        <w:t xml:space="preserve">: </w:t>
      </w:r>
      <w:r w:rsidRPr="00A12A31">
        <w:rPr>
          <w:rFonts w:ascii="Arial Narrow" w:hAnsi="Arial Narrow" w:cs="Arial"/>
          <w:lang w:val="en-ID"/>
        </w:rPr>
        <w:t xml:space="preserve">To </w:t>
      </w:r>
      <w:proofErr w:type="spellStart"/>
      <w:r w:rsidRPr="00A12A31">
        <w:rPr>
          <w:rFonts w:ascii="Arial Narrow" w:hAnsi="Arial Narrow" w:cs="Arial"/>
          <w:lang w:val="en-ID"/>
        </w:rPr>
        <w:t>analyze</w:t>
      </w:r>
      <w:proofErr w:type="spellEnd"/>
      <w:r w:rsidRPr="00A12A31">
        <w:rPr>
          <w:rFonts w:ascii="Arial Narrow" w:hAnsi="Arial Narrow" w:cs="Arial"/>
          <w:lang w:val="en-ID"/>
        </w:rPr>
        <w:t xml:space="preserve"> the relationship between perception, media exposure, and peer influence on adolescents’ decisions to consume IFA tablets.</w:t>
      </w:r>
    </w:p>
    <w:p w:rsidR="00A12A31" w:rsidRPr="00A12A31" w:rsidRDefault="00A12A31" w:rsidP="00DB382A">
      <w:pPr>
        <w:spacing w:before="9" w:line="220" w:lineRule="exact"/>
        <w:ind w:left="284" w:right="1021"/>
        <w:jc w:val="both"/>
        <w:rPr>
          <w:rFonts w:ascii="Arial Narrow" w:hAnsi="Arial Narrow" w:cs="Arial"/>
          <w:lang w:val="en-ID"/>
        </w:rPr>
      </w:pPr>
      <w:r w:rsidRPr="00A12A31">
        <w:rPr>
          <w:rFonts w:ascii="Arial Narrow" w:hAnsi="Arial Narrow" w:cs="Arial"/>
          <w:b/>
          <w:bCs/>
          <w:lang w:val="en-ID"/>
        </w:rPr>
        <w:t>Methods:</w:t>
      </w:r>
      <w:r w:rsidRPr="00A12A31">
        <w:rPr>
          <w:rFonts w:ascii="Arial Narrow" w:hAnsi="Arial Narrow" w:cs="Arial"/>
          <w:lang w:val="en-ID"/>
        </w:rPr>
        <w:t xml:space="preserve"> This research employed a quantitative design with a cross-sectional study approach, examining the relationship between perception, media exposure, and peer influence variables with decision-making. The study sample consisted of 36 students from SMP Muhammadiyah 2 </w:t>
      </w:r>
      <w:proofErr w:type="spellStart"/>
      <w:r w:rsidRPr="00A12A31">
        <w:rPr>
          <w:rFonts w:ascii="Arial Narrow" w:hAnsi="Arial Narrow" w:cs="Arial"/>
          <w:lang w:val="en-ID"/>
        </w:rPr>
        <w:t>Singaraja</w:t>
      </w:r>
      <w:proofErr w:type="spellEnd"/>
      <w:r w:rsidRPr="00A12A31">
        <w:rPr>
          <w:rFonts w:ascii="Arial Narrow" w:hAnsi="Arial Narrow" w:cs="Arial"/>
          <w:lang w:val="en-ID"/>
        </w:rPr>
        <w:t xml:space="preserve">. Data were collected using a structured questionnaire and </w:t>
      </w:r>
      <w:proofErr w:type="spellStart"/>
      <w:r w:rsidRPr="00A12A31">
        <w:rPr>
          <w:rFonts w:ascii="Arial Narrow" w:hAnsi="Arial Narrow" w:cs="Arial"/>
          <w:lang w:val="en-ID"/>
        </w:rPr>
        <w:t>analyzed</w:t>
      </w:r>
      <w:proofErr w:type="spellEnd"/>
      <w:r w:rsidRPr="00A12A31">
        <w:rPr>
          <w:rFonts w:ascii="Arial Narrow" w:hAnsi="Arial Narrow" w:cs="Arial"/>
          <w:lang w:val="en-ID"/>
        </w:rPr>
        <w:t xml:space="preserve"> using the chi-square test at a 0.05 significance level.</w:t>
      </w:r>
    </w:p>
    <w:p w:rsidR="00A12A31" w:rsidRDefault="00A12A31" w:rsidP="00DB382A">
      <w:pPr>
        <w:spacing w:before="9" w:line="220" w:lineRule="exact"/>
        <w:ind w:left="284" w:right="1021"/>
        <w:jc w:val="both"/>
        <w:rPr>
          <w:rFonts w:ascii="Arial Narrow" w:hAnsi="Arial Narrow" w:cs="Arial"/>
          <w:lang w:val="en-ID"/>
        </w:rPr>
      </w:pPr>
      <w:r w:rsidRPr="00A12A31">
        <w:rPr>
          <w:rFonts w:ascii="Arial Narrow" w:hAnsi="Arial Narrow" w:cs="Arial"/>
          <w:b/>
          <w:bCs/>
          <w:lang w:val="en-ID"/>
        </w:rPr>
        <w:t>Results: The</w:t>
      </w:r>
      <w:r w:rsidRPr="00A12A31">
        <w:rPr>
          <w:rFonts w:ascii="Arial Narrow" w:hAnsi="Arial Narrow" w:cs="Arial"/>
          <w:lang w:val="en-ID"/>
        </w:rPr>
        <w:t xml:space="preserve"> chi-square test results indicated a significant relationship between peer influence and media exposure on adolescents’ decisions to consume IFA tablets. Meanwhile, the perception variable did not show a significant relationship with adolescents’ decisions to consume IFA tablets.</w:t>
      </w:r>
    </w:p>
    <w:p w:rsidR="00512927" w:rsidRPr="00A12A31" w:rsidRDefault="00512927" w:rsidP="00DB382A">
      <w:pPr>
        <w:spacing w:before="9" w:line="220" w:lineRule="exact"/>
        <w:ind w:left="284" w:right="1021"/>
        <w:jc w:val="both"/>
        <w:rPr>
          <w:rFonts w:ascii="Arial Narrow" w:hAnsi="Arial Narrow" w:cs="Arial"/>
          <w:lang w:val="en-ID"/>
        </w:rPr>
      </w:pPr>
    </w:p>
    <w:p w:rsidR="00A12A31" w:rsidRPr="00A12A31" w:rsidRDefault="00A12A31" w:rsidP="00DB382A">
      <w:pPr>
        <w:spacing w:before="9" w:line="220" w:lineRule="exact"/>
        <w:ind w:left="284" w:right="1021"/>
        <w:jc w:val="both"/>
        <w:rPr>
          <w:rFonts w:ascii="Arial Narrow" w:hAnsi="Arial Narrow" w:cs="Arial"/>
          <w:lang w:val="en-ID"/>
        </w:rPr>
      </w:pPr>
      <w:r w:rsidRPr="00A12A31">
        <w:rPr>
          <w:rFonts w:ascii="Arial Narrow" w:hAnsi="Arial Narrow" w:cs="Arial"/>
          <w:b/>
          <w:bCs/>
          <w:lang w:val="en-ID"/>
        </w:rPr>
        <w:lastRenderedPageBreak/>
        <w:t>Conclusion:</w:t>
      </w:r>
      <w:r w:rsidRPr="00A12A31">
        <w:rPr>
          <w:rFonts w:ascii="Arial Narrow" w:hAnsi="Arial Narrow" w:cs="Arial"/>
          <w:lang w:val="en-ID"/>
        </w:rPr>
        <w:t xml:space="preserve"> There is a positive relationship between peer influence and media exposure on adolescents’ decisions to consume IFA tablets.</w:t>
      </w:r>
    </w:p>
    <w:p w:rsidR="00A12A31" w:rsidRDefault="00A12A31" w:rsidP="00DB382A">
      <w:pPr>
        <w:spacing w:before="9" w:line="220" w:lineRule="exact"/>
        <w:ind w:left="284" w:right="1021"/>
        <w:jc w:val="both"/>
        <w:rPr>
          <w:rFonts w:ascii="Arial Narrow" w:hAnsi="Arial Narrow" w:cs="Arial"/>
          <w:lang w:val="en-ID"/>
        </w:rPr>
      </w:pPr>
      <w:r w:rsidRPr="00512927">
        <w:rPr>
          <w:rFonts w:ascii="Arial Narrow" w:hAnsi="Arial Narrow" w:cs="Arial"/>
          <w:b/>
          <w:bCs/>
          <w:lang w:val="en-ID"/>
        </w:rPr>
        <w:t>Suggestion</w:t>
      </w:r>
      <w:r w:rsidRPr="00A12A31">
        <w:rPr>
          <w:rFonts w:ascii="Arial Narrow" w:hAnsi="Arial Narrow" w:cs="Arial"/>
          <w:b/>
          <w:bCs/>
          <w:lang w:val="en-ID"/>
        </w:rPr>
        <w:t>:</w:t>
      </w:r>
      <w:r w:rsidRPr="00A12A31">
        <w:rPr>
          <w:rFonts w:ascii="Arial Narrow" w:hAnsi="Arial Narrow" w:cs="Arial"/>
          <w:lang w:val="en-ID"/>
        </w:rPr>
        <w:t xml:space="preserve"> Future research may explore other related variables such as family socioeconomic status, access to healthcare services, and cultural or belief systems.</w:t>
      </w:r>
    </w:p>
    <w:p w:rsidR="007F5A4B" w:rsidRPr="00512927" w:rsidRDefault="007F5A4B" w:rsidP="00DB382A">
      <w:pPr>
        <w:spacing w:before="9" w:line="220" w:lineRule="exact"/>
        <w:ind w:left="284" w:right="1021"/>
        <w:jc w:val="both"/>
        <w:rPr>
          <w:rFonts w:ascii="Arial Narrow" w:hAnsi="Arial Narrow" w:cs="Arial"/>
          <w:lang w:val="en-ID"/>
        </w:rPr>
      </w:pPr>
      <w:r>
        <w:rPr>
          <w:rFonts w:ascii="Arial Narrow" w:hAnsi="Arial Narrow" w:cs="Arial"/>
          <w:b/>
          <w:bCs/>
          <w:lang w:val="en-ID"/>
        </w:rPr>
        <w:t>Keywords:</w:t>
      </w:r>
      <w:r>
        <w:rPr>
          <w:rFonts w:ascii="Arial Narrow" w:hAnsi="Arial Narrow" w:cs="Arial"/>
          <w:lang w:val="en-ID"/>
        </w:rPr>
        <w:t xml:space="preserve"> Perception, Media Information, Peers Group, Iron Tablets</w:t>
      </w:r>
    </w:p>
    <w:p w:rsidR="00DB382A" w:rsidRDefault="00DB382A" w:rsidP="00DB3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rsidR="00512927" w:rsidRDefault="00512927" w:rsidP="00512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sectPr w:rsidR="00512927" w:rsidSect="00DB382A">
          <w:pgSz w:w="11920" w:h="16840"/>
          <w:pgMar w:top="1560" w:right="160" w:bottom="280" w:left="1100" w:header="720" w:footer="720" w:gutter="0"/>
          <w:cols w:space="720"/>
        </w:sectPr>
      </w:pPr>
    </w:p>
    <w:p w:rsidR="00512927" w:rsidRPr="00A60D2F"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rPr>
          <w:rFonts w:ascii="Arial Narrow" w:eastAsia="Times New Roman" w:hAnsi="Arial Narrow" w:cs="Courier New"/>
          <w:b/>
          <w:lang w:val="en"/>
        </w:rPr>
      </w:pPr>
      <w:r w:rsidRPr="00A60D2F">
        <w:rPr>
          <w:rFonts w:ascii="Arial Narrow" w:eastAsia="Times New Roman" w:hAnsi="Arial Narrow" w:cs="Courier New"/>
          <w:b/>
          <w:lang w:val="en"/>
        </w:rPr>
        <w:t>INTRODUCTION</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rPr>
          <w:rFonts w:ascii="Arial Narrow" w:eastAsia="Times New Roman" w:hAnsi="Arial Narrow" w:cs="Courier New"/>
          <w:lang w:val="en"/>
        </w:rPr>
      </w:pPr>
    </w:p>
    <w:p w:rsidR="00512927" w:rsidRPr="00A12A3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A12A31">
        <w:rPr>
          <w:rFonts w:ascii="Arial Narrow" w:eastAsia="Times New Roman" w:hAnsi="Arial Narrow" w:cs="Courier New"/>
          <w:lang w:val="en-ID"/>
        </w:rPr>
        <w:t>One of the current priorities in the field of public health is the First 1,000 Days of Life (HPK). Problems arising during this critical period not only carry the risk of causing mortality and suffering among mothers and children but may also permanently affect the overall quality of life of individuals. To address this issue, the Indonesian Ministry of Health launched an iron tablet supplementation program with gradual coverage targets, starting at 10% in 2015 and increasing to 30% in 2019</w:t>
      </w:r>
      <w:r>
        <w:rPr>
          <w:rFonts w:ascii="Arial Narrow" w:eastAsia="Times New Roman" w:hAnsi="Arial Narrow" w:cs="Courier New"/>
          <w:lang w:val="en-ID"/>
        </w:rPr>
        <w:t xml:space="preserve">. </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{"citationItems":[{"id":"ITEM-1","itemData":{"DOI":"10.14710/jkm.v9i3.29231","ISSN":"2715-5617","abstract":"Adolescents girls’ tend to be riskier of developing anemia than boys because they experience menstruation every month. Based on survey, 4 of 5 students who received blood supplement tablets at school stated that they don’t want to consume it. This research aimed to analyze any factors related to the practice of consuming adolescents girls’ blood supplement tablet in the work area of the Gilingan Health Care Center Surakarta. The method of this research was analytic quantitative with cross sectional design. The population were 542 adolescents girls’ and a sample of 225 adolescents girls’ were selected using simple random sampling. This research used univariate and bivariate analysis (Chi Square). The results of univariate analysis of characteristics respondents were the majority of the respondents were 17 years old (48,0%), education of the respondent’s father is university (56,0%) and also education of the respondent’s mother is university (44,9%), the occupation of respondent’s father is self-employed (30,7%), the occupation of respondent’s mother is housewife (46,2%), with the majority of parents income of Rp. 5.000.000,00 (12,0%). The result of Chi Square test showed that there is a relation between father’s education (p=0,032), parent’s income (p=0,002), attitude (p=0,000), family support (p=0,000), peer support (p=0,000), support from UKS tutor teachers (p=0,001), health workers support (p=0,003), and access to information (p=0,004) with practice of consuming adolescents girls’ blood supplement tablet. Meanwhile, the respondent’s age (p=0,396), father’s occupation (p=1,000), mother’s occupation (p=0,272), mother’s education (p=0,128), knowledge (p=0,850), school support (p=0,210), availability blood supplement tablets in school (p=0,164), and the availability of control cards (p=0,066) had no relation with practice of consuming adolescents girls’ blood supplement tablet.","author":[{"dropping-particle":"","family":"Rahayuningtyas","given":"Devika","non-dropping-particle":"","parse-names":false,"suffix":""},{"dropping-particle":"","family":"Indraswari","given":"Ratih","non-dropping-particle":"","parse-names":false,"suffix":""},{"dropping-particle":"","family":"Musthofa","given":"Syamsulhuda Budi","non-dropping-particle":"","parse-names":false,"suffix":""}],"container-title":"Jurnal Kesehatan Masyarakat (Undip)","id":"ITEM-1","issue":"3","issued":{"date-parts":[["2021"]]},"page":"310-318","title":"Faktor-Faktor Yang Berhubungan Dengan Praktik Konsumsi Tablet Tambah Darah (Ttd) Remaja Putri Di Wilayah Kerja Puskesmas Gilingan Kota Surakarta","type":"article-journal","volume":"9"},"uris":["http://www.mendeley.com/documents/?uuid=79bebbed-c095-4271-9c37-2dbbad48459a"]}],"mendeley":{"formattedCitation":"(Rahayuningtyas et al., 2021)","plainTextFormattedCitation":"(Rahayuningtyas et al., 2021)","previouslyFormattedCitation":"(1)"},"properties":{"noteIndex":0},"schema":"https://github.com/citation-style-language/schema/raw/master/csl-citation.json"}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(Rahayuningtyas et al., 2021)</w:t>
      </w:r>
      <w:r>
        <w:rPr>
          <w:rFonts w:ascii="Arial Narrow" w:eastAsia="Times New Roman" w:hAnsi="Arial Narrow" w:cs="Courier New"/>
          <w:lang w:val="en-ID"/>
        </w:rPr>
        <w:fldChar w:fldCharType="end"/>
      </w:r>
      <w:r w:rsidRPr="00A12A31">
        <w:rPr>
          <w:rFonts w:ascii="Arial Narrow" w:eastAsia="Times New Roman" w:hAnsi="Arial Narrow" w:cs="Courier New"/>
          <w:lang w:val="en-ID"/>
        </w:rPr>
        <w:t xml:space="preserve"> The provision of iron tablets to adolescent girls is expected to break the cycle of stunting, reduce the incidence of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 and increase iron reserves in the body. This initiative is intended to equip adolescent girls with the resilience to eventually become mothers capable of giving birth to a healthy, high-quality, and productive generation.</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approach.","author":[{"dropping-particle":"","family":"Sulistyawati","given":"Nining","non-dropping-particle":"","parse-names":false,"suffix":""},{"dropping-particle":"","family":"Nurjanah","given":"Afnisa Siti","non-dropping-particle":"","parse-names":false,"suffix":""}],"container-title":"Jurnal Kesehatan Samodra Biru","id":"ITEM-1","issue":"2","issued":{"date-parts":[["2018"]]},"page":"1-7","title":"Pengetahuan Remaja Putri Tentang Anemia Studi Kasus Pada Siswa Putri SMAN 1 Piyungan Bantul","type":"article-journal","volume":"9"},"uris":["http://www.mendeley.com/documents/?uuid=ed99d0d5-4633-4b33-ab10-b50e7cb6acd2"]}],"mendeley":{"formattedCitation":"(Sulistyawati &amp; Nurjanah, 2018)","plainTextFormattedCitation":"(Sulistyawati &amp; Nurjanah, 2018)","previouslyFormattedCitation":"(2)"},"properties":{"noteIndex":0},"schema":"https://github.com/citation-style-language/schema/raw/master/csl-citation.json"}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(Sulistyawati &amp; Nurjanah, 2018)</w:t>
      </w:r>
      <w:r>
        <w:rPr>
          <w:rFonts w:ascii="Arial Narrow" w:eastAsia="Times New Roman" w:hAnsi="Arial Narrow" w:cs="Courier New"/>
          <w:lang w:val="en-ID"/>
        </w:rPr>
        <w:fldChar w:fldCharType="end"/>
      </w:r>
    </w:p>
    <w:p w:rsidR="00512927" w:rsidRPr="00A12A3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A12A31">
        <w:rPr>
          <w:rFonts w:ascii="Arial Narrow" w:eastAsia="Times New Roman" w:hAnsi="Arial Narrow" w:cs="Courier New"/>
          <w:lang w:val="en-ID"/>
        </w:rPr>
        <w:t xml:space="preserve">The importance of focusing on adolescent health and addressing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 xml:space="preserve"> is further reinforced by Minister of Health Regulation No. 88 of 2014 concerning standards for iron tablets for women of reproductive age, along with a circular issued by the Directorate General of Public Health of the Indonesian Ministry of Health in 2014 regarding iron tablet supplementation for adolescent girls and women of reproductive age. According to this regulation, adolescent girls are recommended to consume one iron tablet per week. Distribution is carried out through educational institutions as a strategic measure to ensure accessibility for those in need. These initiatives demonstrate the government’s commitment to safeguarding the health of the younger generation so that they may grow and develop into healthy, productive, and competitive individuals.</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{"citationItems":[{"id":"ITEM-1","itemData":{"author":[{"dropping-particle":"","family":"Agustini","given":"Ni Komang Tri","non-dropping-particle":"","parse-names":false,"suffix":""}],"container-title":"Malahayati Nursing Journal","id":"ITEM-1","issue":"12","issued":{"date-parts":[["2023"]]},"page":"4258-4269","title":"Faktor Dukungan yang Berpengaruh Terhadap Kesadaran Diri Remaja Cegah Anemia","type":"article-journal","volume":"5"},"uris":["http://www.mendeley.com/documents/?uuid=74d69ea9-4baa-4e48-b14c-3001f21879e4"]}],"mendeley":{"formattedCitation":"(Agustini, 2023)","plainTextFormattedCitation":"(Agustini, 2023)","previouslyFormattedCitation":"(3)"},"properties":{"noteIndex":0},"schema":"https://github.com/citation-style-language/schema/raw/master/csl-citation.json"}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(Agustini, 2023)</w:t>
      </w:r>
      <w:r>
        <w:rPr>
          <w:rFonts w:ascii="Arial Narrow" w:eastAsia="Times New Roman" w:hAnsi="Arial Narrow" w:cs="Courier New"/>
          <w:lang w:val="en-ID"/>
        </w:rPr>
        <w:fldChar w:fldCharType="end"/>
      </w:r>
    </w:p>
    <w:p w:rsidR="00512927" w:rsidRPr="00A12A3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A12A31">
        <w:rPr>
          <w:rFonts w:ascii="Arial Narrow" w:eastAsia="Times New Roman" w:hAnsi="Arial Narrow" w:cs="Courier New"/>
          <w:lang w:val="en-ID"/>
        </w:rPr>
        <w:t xml:space="preserve">Furthermore, data show that the prevalence of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 xml:space="preserve"> in Indonesia remains high, with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 xml:space="preserve"> among adolescent girls reaching 32% (Ministry of Health, 2019). Multiple factors contribute to the incidence of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 xml:space="preserve"> in this group, one of which is the increased demand for iron to replace losses during menstruation. The estimated iron requirement for adolescent girls is approximately 26 mg per day, with absorption needs increasing significantly at ages 14–15. This condition makes adolescent girls particularly vulnerable to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{"citationItems":[{"id":"ITEM-1","itemData":{"DOI":"10.54107/medikausada.v6i1.164","ISSN":"2614-5421","abstract":"Girl teenager are very susceptible to anemia because they lose a lot of iron during menstruation. The prevalence of anemia in young women is 32%. As an effort to prevent anemia, the government has implemented a program to provide Blood Supplementary Tablets (TTD) to young women aged 12-18 years through schools. The purpose of this study was to determine the knowledge of young women about iron tablets, explore experiences and factors that influence adolescent adherence in consuming iron tablets. The research design used is qualitative. The research was conducted in December 2022 at SMA Tabanan Regency. Data collection was carried out by interviewing through FGD. Informants in this study were 10 high school students in Tabanan Regency aged 12-18 years. For data validation, researchers used key informants, namely 5 parents of students, 1 teacher and 1 health worker. Data processing is done by means of triangulation. Results: Adolescent girls stated that they had taken iron tablets, but not regularly according to the government's recommended dose. Factors that cause adolescent non-adherence in consuming iron tablets are perception, parental support, teacher and school support, peer support and support from health workers. Continuous information is needed, including parents. There needs to be a media reminder so that young women regularly take iron tablets in accordance with the dose recommended by the government.","author":[{"dropping-particle":"","family":"Pemayun","given":"Cokorda Istri Mita","non-dropping-particle":"","parse-names":false,"suffix":""},{"dropping-particle":"","family":"Winangsih","given":"Rini","non-dropping-particle":"","parse-names":false,"suffix":""},{"dropping-particle":"","family":"Ariyanti","given":"Kadek Sri","non-dropping-particle":"","parse-names":false,"suffix":""}],"container-title":"Jurnal Medika Usada","id":"ITEM-1","issue":"1","issued":{"date-parts":[["2023"]]},"page":"64-73","title":"Gambaran Perilaku Konsumsi Tablet Tambah Darah Pada Remaja Putri Di Tabanan","type":"article-journal","volume":"6"},"uris":["http://www.mendeley.com/documents/?uuid=064a069b-c3e4-473a-bcfd-b54bda7f15a9"]}],"mendeley":{"formattedCitation":"(Pemayun et al., 2023)","plainTextFormattedCitation":"(Pemayun et al., 2023)","previouslyFormattedCitation":"(4)"},"properties":{"noteIndex":0},"schema":"https://github.com/citation-style-language/schema/raw/master/csl-citation.json"}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w:t>
      </w:r>
      <w:proofErr w:type="spellStart"/>
      <w:r w:rsidRPr="00512927">
        <w:rPr>
          <w:rFonts w:ascii="Arial Narrow" w:eastAsia="Times New Roman" w:hAnsi="Arial Narrow" w:cs="Courier New"/>
          <w:noProof/>
          <w:lang w:val="en-ID"/>
        </w:rPr>
        <w:t>Pemayun</w:t>
      </w:r>
      <w:proofErr w:type="spellEnd"/>
      <w:r w:rsidRPr="00512927">
        <w:rPr>
          <w:rFonts w:ascii="Arial Narrow" w:eastAsia="Times New Roman" w:hAnsi="Arial Narrow" w:cs="Courier New"/>
          <w:noProof/>
          <w:lang w:val="en-ID"/>
        </w:rPr>
        <w:t xml:space="preserve"> et al., 2023)</w:t>
      </w:r>
      <w:r>
        <w:rPr>
          <w:rFonts w:ascii="Arial Narrow" w:eastAsia="Times New Roman" w:hAnsi="Arial Narrow" w:cs="Courier New"/>
          <w:lang w:val="en-ID"/>
        </w:rPr>
        <w:fldChar w:fldCharType="end"/>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A12A31">
        <w:rPr>
          <w:rFonts w:ascii="Arial Narrow" w:eastAsia="Times New Roman" w:hAnsi="Arial Narrow" w:cs="Courier New"/>
          <w:lang w:val="en-ID"/>
        </w:rPr>
        <w:t xml:space="preserve">A wide range of factors influence adolescents’ decisions to consume iron tablets, encompassing both internal and external factors. Internal factors include knowledge, perception, and personal intention, while </w:t>
      </w:r>
      <w:r w:rsidRPr="00A12A31">
        <w:rPr>
          <w:rFonts w:ascii="Arial Narrow" w:eastAsia="Times New Roman" w:hAnsi="Arial Narrow" w:cs="Courier New"/>
          <w:lang w:val="en-ID"/>
        </w:rPr>
        <w:t xml:space="preserve">external factors involve exposure to information media, peer influence, relatives, and family. The incidence of </w:t>
      </w:r>
      <w:proofErr w:type="spellStart"/>
      <w:r w:rsidRPr="00A12A31">
        <w:rPr>
          <w:rFonts w:ascii="Arial Narrow" w:eastAsia="Times New Roman" w:hAnsi="Arial Narrow" w:cs="Courier New"/>
          <w:lang w:val="en-ID"/>
        </w:rPr>
        <w:t>anemia</w:t>
      </w:r>
      <w:proofErr w:type="spellEnd"/>
      <w:r w:rsidRPr="00A12A31">
        <w:rPr>
          <w:rFonts w:ascii="Arial Narrow" w:eastAsia="Times New Roman" w:hAnsi="Arial Narrow" w:cs="Courier New"/>
          <w:lang w:val="en-ID"/>
        </w:rPr>
        <w:t xml:space="preserve"> among adolescent girls is not solely attributable to monthly menstruation. Many also engage in dietary restrictions, resulting in iron deficiency and hormonal imbalance. This situation is further exacerbated by negative perceptions, such as believing that iron tablets provide no benefit, unattractive packaging, peers who do not consume iron tablets, and an aversion to the taste of the tablets.</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{"citationItems":[{"id":"ITEM-1","itemData":{"DOI":"10.20473/jn.v17i1.27744","ISSN":"25025791","abstract":"Introduction: Female adolescent is a group prone to iron deficiency anemia due to various factors such as having monthly menstruation and poor diet. Therefore, anemia prevention behavior needs to be done from an early age to avoid prolonged health problems. The purpose of this study was to analyze the factors that correlated with anemia prevention behavior in female adolescents based on the Theory of Planned Behavior. Methods: This study used a descriptive correlational design with a cross-sectional approach. The population of this study is female adolescents in Madiun City. Purposive sampling was used to obtain 105 respondents. The instrument used was a questionnaire to measure the variables attitude, subjective norm, perceived behavioral control, intention, and anemia prevention behavior. Data analysis was performed using the Spearman Rho Test with a level of significance ≤ 0.05. Results: There is a relationship between attitudes (p = 0.003; r = 0.292), subjective norms (p = 0.006; r = 0.266), and perceived behavioral control (p = 0.002; r = 0.299) with the intention to prevent anemia and also perceived behavioral control (p = 0.003; r = 0.292) and intention (p = 0.000; r = 0.392) with anemia prevention behavior. Conclusions: Better attitude, subjective norm, perceived behavioral control, and intention possessed by a female adolescent will make better anemia prevention behavior too. Therefore, support from various parties is needed to intensify the promotion of anemia prevention, education on early detection of anemia, especially for female adolescents, and further research to determine effective health promotion methods.","author":[{"dropping-particle":"","family":"Puspitasari","given":"Halfie Zaqiyah Gusti","non-dropping-particle":"","parse-names":false,"suffix":""},{"dropping-particle":"","family":"Armini","given":"Ni Ketut Alit","non-dropping-particle":"","parse-names":false,"suffix":""},{"dropping-particle":"","family":"Pradanie","given":"Retnayu","non-dropping-particle":"","parse-names":false,"suffix":""},{"dropping-particle":"","family":"Triharini","given":"Mira","non-dropping-particle":"","parse-names":false,"suffix":""}],"container-title":"Jurnal Ners","id":"ITEM-1","issue":"1","issued":{"date-parts":[["2022"]]},"page":"25-30","title":"Anemia prevention behavior in female adolescents and related factors based on Theory of Planned Behavior: A cross-sectional study","type":"article-journal","volume":"17"},"uris":["http://www.mendeley.com/documents/?uuid=1da23612-219d-488b-bde3-eed8a52197c4"]}],"mendeley":{"formattedCitation":"(Puspitasari et al., 2022)","plainTextFormattedCitation":"(Puspitasari et al., 2022)","previouslyFormattedCitation":"(5)"},"properties":{"noteIndex":0},"schema":"https://github.com/citation-style-language/schema/raw/master/csl-citation.json"}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(Puspitasari et al., 2022)</w:t>
      </w:r>
      <w:r>
        <w:rPr>
          <w:rFonts w:ascii="Arial Narrow" w:eastAsia="Times New Roman" w:hAnsi="Arial Narrow" w:cs="Courier New"/>
          <w:lang w:val="en-ID"/>
        </w:rPr>
        <w:fldChar w:fldCharType="end"/>
      </w:r>
    </w:p>
    <w:p w:rsidR="00512927" w:rsidRPr="00A12A3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F84134">
        <w:rPr>
          <w:rFonts w:ascii="Arial Narrow" w:eastAsia="Times New Roman" w:hAnsi="Arial Narrow" w:cs="Courier New"/>
        </w:rPr>
        <w:t xml:space="preserve">In addition, adolescence is a crucial transitional stage in the life course </w:t>
      </w:r>
      <w:proofErr w:type="gramStart"/>
      <w:r w:rsidRPr="00F84134">
        <w:rPr>
          <w:rFonts w:ascii="Arial Narrow" w:eastAsia="Times New Roman" w:hAnsi="Arial Narrow" w:cs="Courier New"/>
        </w:rPr>
        <w:t>where</w:t>
      </w:r>
      <w:proofErr w:type="gramEnd"/>
      <w:r w:rsidRPr="00F84134">
        <w:rPr>
          <w:rFonts w:ascii="Arial Narrow" w:eastAsia="Times New Roman" w:hAnsi="Arial Narrow" w:cs="Courier New"/>
        </w:rPr>
        <w:t xml:space="preserve"> nutritional needs increase significantly due to rapid growth and development. During this period, girls experience menarche and are therefore more vulnerable to iron deficiency because of menstrual blood loss. If not addressed properly, iron deficiency anemia can impair concentration, reduce academic achievement, and decrease productivity, which in turn affects future human resource quality</w:t>
      </w:r>
      <w:r>
        <w:rPr>
          <w:rFonts w:ascii="Arial Narrow" w:eastAsia="Times New Roman" w:hAnsi="Arial Narrow" w:cs="Courier New"/>
        </w:rPr>
        <w:t xml:space="preserve">. </w:t>
      </w:r>
      <w:r w:rsidRPr="00F84134">
        <w:rPr>
          <w:rFonts w:ascii="Arial Narrow" w:eastAsia="Times New Roman" w:hAnsi="Arial Narrow" w:cs="Courier New"/>
        </w:rPr>
        <w:t>Evidence also shows that adolescent anemia is not only a biomedical issue but also closely tied to social determinants of health, including socioeconomic status, dietary diversity, and gender inequality</w:t>
      </w:r>
      <w:r>
        <w:rPr>
          <w:rFonts w:ascii="Arial Narrow" w:eastAsia="Times New Roman" w:hAnsi="Arial Narrow" w:cs="Courier New"/>
        </w:rPr>
        <w:t xml:space="preserve">. </w:t>
      </w:r>
      <w:r w:rsidRPr="00F84134">
        <w:rPr>
          <w:rFonts w:ascii="Arial Narrow" w:eastAsia="Times New Roman" w:hAnsi="Arial Narrow" w:cs="Courier New"/>
        </w:rPr>
        <w:t>Thus, interventions targeting adolescent girls are highly strategic to improve both present and future health outcomes.</w:t>
      </w:r>
      <w:r>
        <w:rPr>
          <w:rFonts w:ascii="Arial Narrow" w:eastAsia="Times New Roman" w:hAnsi="Arial Narrow" w:cs="Courier New"/>
        </w:rPr>
        <w:fldChar w:fldCharType="begin" w:fldLock="1"/>
      </w:r>
      <w:r>
        <w:rPr>
          <w:rFonts w:ascii="Arial Narrow" w:eastAsia="Times New Roman" w:hAnsi="Arial Narrow" w:cs="Courier New"/>
        </w:rPr>
        <w:instrText>ADDIN CSL_CITATION {"citationItems":[{"id":"ITEM-1","itemData":{"DOI":"10.20473/amnt.v7i3SP.2023.50-61","ISSN":"25809776","abstract":"Background: Anemia poses a significant challenge to the health and productivity of adolescent girls. This has prompted the Indonesian government to initiate a program to distribute iron and folic acid (IFA) supplements. Therefore, it is necessary to address the level of acceptance of or compliance with IFA supplementation among adolescent girls. Objectives: This study aims to assess the acceptance level of the program among adolescent girls in Indonesia. Methods: A PRISMA-guided literature search was conducted in the NCBI, PubMed, Scopus, ScienceDirect, and Garuda databases for experimental or observational research published in Scopus-indexed journals from Q1 to Q4 or in Sinta 1 to Sinta 3 from 2013 to 2023. Discussion: Eight studies conducted in five provinces in Indonesia showed that the coverage of IFA supplement distribution programs was less than 50%, with acceptance levels between 0% and 25.2% according to the Indonesian standard. The majority of IFA supplement distribution programs were not implemented in accordance with the standard. In addition, the supplements were not consistently provided every week, nor were they taken immediately at school. Factors that influence the consumption of IFA supplements among adolescent girls included knowledge, motivation, self-efficacy, attitude, parental influence, peer pressure, school policies and commitments, and the IFA supplements provided. Positive factors encouraged consumption, while negative factors discouraged consumption. Conclusions: The acceptance level of the IFA supplement distribution program remains low. To improve this, it is essential to increase the knowledge of adolescent girls and their parents about anemia, including its definition, causes, side effects, and symptoms, as well as the benefits and risks of not taking IFA supplements. Other necessary measures include improving the distribution system and providing supporting facilities.","author":[{"dropping-particle":"","family":"Helmyati","given":"Siti","non-dropping-particle":"","parse-names":false,"suffix":""},{"dropping-particle":"","family":"Syarifa","given":"Cut Alima","non-dropping-particle":"","parse-names":false,"suffix":""},{"dropping-particle":"","family":"Rizana","given":"Nisa Ayu","non-dropping-particle":"","parse-names":false,"suffix":""},{"dropping-particle":"","family":"Sitorus","given":"Nova Lidia","non-dropping-particle":"","parse-names":false,"suffix":""},{"dropping-particle":"","family":"Pratiwi","given":"Dessy","non-dropping-particle":"","parse-names":false,"suffix":""}],"container-title":"Amerta Nutrition","id":"ITEM-1","issue":"3SP","issued":{"date-parts":[["2023"]]},"page":"50-61","title":"Acceptance of Iron Supplementation Program among Adolescent Girls in Indonesia: A Literature Review","type":"article-journal","volume":"7"},"uris":["http://www.mendeley.com/documents/?uuid=e3c8b512-5b65-4b91-a1e3-195897829903"]}],"mendeley":{"formattedCitation":"(Helmyati et al., 2023)","plainTextFormattedCitation":"(Helmyati et al., 2023)","previouslyFormattedCitation":"(6)"},"properties":{"noteIndex":0},"schema":"https://github.com/citation-style-language/schema/raw/master/csl-citation.json"}</w:instrText>
      </w:r>
      <w:r>
        <w:rPr>
          <w:rFonts w:ascii="Arial Narrow" w:eastAsia="Times New Roman" w:hAnsi="Arial Narrow" w:cs="Courier New"/>
        </w:rPr>
        <w:fldChar w:fldCharType="separate"/>
      </w:r>
      <w:r w:rsidRPr="00512927">
        <w:rPr>
          <w:rFonts w:ascii="Arial Narrow" w:eastAsia="Times New Roman" w:hAnsi="Arial Narrow" w:cs="Courier New"/>
          <w:noProof/>
        </w:rPr>
        <w:t>(Helmyati et al., 2023)</w:t>
      </w:r>
      <w:r>
        <w:rPr>
          <w:rFonts w:ascii="Arial Narrow" w:eastAsia="Times New Roman" w:hAnsi="Arial Narrow" w:cs="Courier New"/>
        </w:rPr>
        <w:fldChar w:fldCharType="end"/>
      </w:r>
    </w:p>
    <w:p w:rsidR="00512927" w:rsidRPr="00A12A3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A12A31">
        <w:rPr>
          <w:rFonts w:ascii="Arial Narrow" w:eastAsia="Times New Roman" w:hAnsi="Arial Narrow" w:cs="Courier New"/>
          <w:lang w:val="en-ID"/>
        </w:rPr>
        <w:t xml:space="preserve">Identifying and understanding the factors associated with adolescents’ decisions to consume iron tablets can directly contribute to the design of effective strategies aimed at increasing consumption coverage. Indirectly, such efforts can also improve and enhance the nutritional status of adolescents. Therefore, this study </w:t>
      </w:r>
      <w:proofErr w:type="spellStart"/>
      <w:r w:rsidRPr="00A12A31">
        <w:rPr>
          <w:rFonts w:ascii="Arial Narrow" w:eastAsia="Times New Roman" w:hAnsi="Arial Narrow" w:cs="Courier New"/>
          <w:lang w:val="en-ID"/>
        </w:rPr>
        <w:t>analyzes</w:t>
      </w:r>
      <w:proofErr w:type="spellEnd"/>
      <w:r w:rsidRPr="00A12A31">
        <w:rPr>
          <w:rFonts w:ascii="Arial Narrow" w:eastAsia="Times New Roman" w:hAnsi="Arial Narrow" w:cs="Courier New"/>
          <w:lang w:val="en-ID"/>
        </w:rPr>
        <w:t xml:space="preserve"> the relationship between perception, exposure to information media, and peer influence on adolescents’ decisions to consume iron tablets.</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rPr>
          <w:rFonts w:ascii="Arial Narrow" w:eastAsia="Times New Roman" w:hAnsi="Arial Narrow" w:cs="Courier New"/>
          <w:lang w:val="en"/>
        </w:rPr>
      </w:pPr>
    </w:p>
    <w:p w:rsidR="00512927" w:rsidRPr="00A60D2F"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rPr>
          <w:rFonts w:ascii="Arial Narrow" w:eastAsia="Times New Roman" w:hAnsi="Arial Narrow" w:cs="Courier New"/>
          <w:b/>
          <w:lang w:val="en"/>
        </w:rPr>
      </w:pPr>
      <w:r w:rsidRPr="00A60D2F">
        <w:rPr>
          <w:rFonts w:ascii="Arial Narrow" w:eastAsia="Times New Roman" w:hAnsi="Arial Narrow" w:cs="Courier New"/>
          <w:b/>
          <w:lang w:val="en"/>
        </w:rPr>
        <w:t>RESEARCH METHODOLOGY</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
        </w:rPr>
      </w:pPr>
      <w:r w:rsidRPr="00F84134">
        <w:rPr>
          <w:rFonts w:ascii="Arial Narrow" w:eastAsia="Times New Roman" w:hAnsi="Arial Narrow" w:cs="Courier New"/>
        </w:rPr>
        <w:t xml:space="preserve">This study employed a quantitative cross-sectional design aimed at assessing the relationship between independent variables—namely perception, exposure to information media, and peer influence—and the dependent variable, which was adolescents’ decision to consume iron tablets. The research was conducted at SMP Muhammadiyah 2 </w:t>
      </w:r>
      <w:proofErr w:type="spellStart"/>
      <w:r w:rsidRPr="00F84134">
        <w:rPr>
          <w:rFonts w:ascii="Arial Narrow" w:eastAsia="Times New Roman" w:hAnsi="Arial Narrow" w:cs="Courier New"/>
        </w:rPr>
        <w:t>Singaraja</w:t>
      </w:r>
      <w:proofErr w:type="spellEnd"/>
      <w:r w:rsidRPr="00F84134">
        <w:rPr>
          <w:rFonts w:ascii="Arial Narrow" w:eastAsia="Times New Roman" w:hAnsi="Arial Narrow" w:cs="Courier New"/>
        </w:rPr>
        <w:t xml:space="preserve">, chosen as a representative school located in the central area of </w:t>
      </w:r>
      <w:proofErr w:type="spellStart"/>
      <w:r w:rsidRPr="00F84134">
        <w:rPr>
          <w:rFonts w:ascii="Arial Narrow" w:eastAsia="Times New Roman" w:hAnsi="Arial Narrow" w:cs="Courier New"/>
        </w:rPr>
        <w:t>Singaraja</w:t>
      </w:r>
      <w:proofErr w:type="spellEnd"/>
      <w:r w:rsidRPr="00F84134">
        <w:rPr>
          <w:rFonts w:ascii="Arial Narrow" w:eastAsia="Times New Roman" w:hAnsi="Arial Narrow" w:cs="Courier New"/>
        </w:rPr>
        <w:t xml:space="preserve">. A total of 36 students were included as the final sample, determined through sample-size calculation and eligibility screening based on inclusion and exclusion criteria. Data were collected using a structured questionnaire that had been reviewed for content validity and tested for clarity through a pilot </w:t>
      </w:r>
      <w:r w:rsidRPr="00F84134">
        <w:rPr>
          <w:rFonts w:ascii="Arial Narrow" w:eastAsia="Times New Roman" w:hAnsi="Arial Narrow" w:cs="Courier New"/>
        </w:rPr>
        <w:lastRenderedPageBreak/>
        <w:t xml:space="preserve">trial, covering items on perceptions, frequency of information exposure, peer influence, and decision-making regarding iron tablet consumption. The data-collection process was conducted in the classroom under supervision after obtaining approval from the school and consent from participants. Collected data were analyzed using the chi-square test to determine the statistical relationship between variables, with a significance level set at </w:t>
      </w:r>
      <w:r w:rsidRPr="00F84134">
        <w:rPr>
          <w:rFonts w:ascii="Arial Narrow" w:eastAsia="Times New Roman" w:hAnsi="Arial Narrow" w:cs="Courier New"/>
          <w:i/>
          <w:iCs/>
        </w:rPr>
        <w:t>p</w:t>
      </w:r>
      <w:r w:rsidRPr="00F84134">
        <w:rPr>
          <w:rFonts w:ascii="Arial Narrow" w:eastAsia="Times New Roman" w:hAnsi="Arial Narrow" w:cs="Courier New"/>
        </w:rPr>
        <w:t>&lt;0.05. To ensure research ethics, approval was obtained from the institutional ethics committee, informed consent was secured, and confidentiality of participants was strictly maintained.</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rPr>
          <w:rFonts w:ascii="Arial Narrow" w:eastAsia="Times New Roman" w:hAnsi="Arial Narrow" w:cs="Courier New"/>
          <w:lang w:val="en"/>
        </w:rPr>
      </w:pPr>
    </w:p>
    <w:p w:rsidR="00512927" w:rsidRPr="00281E4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rPr>
          <w:rFonts w:ascii="Arial Narrow" w:eastAsia="Times New Roman" w:hAnsi="Arial Narrow" w:cs="Courier New"/>
          <w:b/>
          <w:lang w:val="en"/>
        </w:rPr>
      </w:pPr>
      <w:r>
        <w:rPr>
          <w:rFonts w:ascii="Arial Narrow" w:eastAsia="Times New Roman" w:hAnsi="Arial Narrow" w:cs="Courier New"/>
          <w:b/>
          <w:lang w:val="en"/>
        </w:rPr>
        <w:t>RESEARCH RESULT</w:t>
      </w:r>
    </w:p>
    <w:p w:rsidR="00512927" w:rsidRPr="00F84134"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
        </w:rPr>
      </w:pPr>
      <w:r w:rsidRPr="00F84134">
        <w:rPr>
          <w:rFonts w:ascii="Arial Narrow" w:hAnsi="Arial Narrow" w:cs="Times New Roman"/>
        </w:rPr>
        <w:t>In this study, the distribution of respondent characteristics was categorized based on several criteria, including age, grade level, parents’ educational background, and parents’ occupation. The preliminary findings indicated that most respondents had not yet received comprehensive education regarding anemia and iron tablet supplementation. Meanwhile, some respondents had previously obtained education from the community health center during iron tablet distribution activities held a few months earlier.</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center"/>
        <w:rPr>
          <w:rFonts w:ascii="Arial Narrow" w:eastAsia="Times New Roman" w:hAnsi="Arial Narrow" w:cs="Courier New"/>
          <w:lang w:val="en"/>
        </w:rPr>
      </w:pPr>
    </w:p>
    <w:p w:rsidR="00512927" w:rsidRPr="00281E41"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center"/>
        <w:rPr>
          <w:rFonts w:ascii="Arial Narrow" w:eastAsia="Times New Roman" w:hAnsi="Arial Narrow" w:cs="Courier New"/>
          <w:lang w:val="en"/>
        </w:rPr>
      </w:pPr>
      <w:r w:rsidRPr="00281E41">
        <w:rPr>
          <w:rFonts w:ascii="Arial Narrow" w:eastAsia="Times New Roman" w:hAnsi="Arial Narrow" w:cs="Courier New"/>
          <w:lang w:val="en"/>
        </w:rPr>
        <w:t>Table 1</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center"/>
        <w:rPr>
          <w:rFonts w:ascii="Arial Narrow" w:eastAsia="Times New Roman" w:hAnsi="Arial Narrow" w:cs="Courier New"/>
          <w:lang w:val="en"/>
        </w:rPr>
      </w:pPr>
      <w:r w:rsidRPr="00281E41">
        <w:rPr>
          <w:rFonts w:ascii="Arial Narrow" w:eastAsia="Times New Roman" w:hAnsi="Arial Narrow" w:cs="Courier New"/>
          <w:lang w:val="en"/>
        </w:rPr>
        <w:t xml:space="preserve">Distribution of Age Frequency of </w:t>
      </w:r>
      <w:r>
        <w:rPr>
          <w:rFonts w:ascii="Arial Narrow" w:eastAsia="Times New Roman" w:hAnsi="Arial Narrow" w:cs="Courier New"/>
          <w:lang w:val="en"/>
        </w:rPr>
        <w:t>Respondents</w:t>
      </w:r>
    </w:p>
    <w:tbl>
      <w:tblPr>
        <w:tblStyle w:val="PlainTable2"/>
        <w:tblW w:w="0" w:type="auto"/>
        <w:tblInd w:w="426" w:type="dxa"/>
        <w:tblLook w:val="04A0" w:firstRow="1" w:lastRow="0" w:firstColumn="1" w:lastColumn="0" w:noHBand="0" w:noVBand="1"/>
      </w:tblPr>
      <w:tblGrid>
        <w:gridCol w:w="2558"/>
        <w:gridCol w:w="638"/>
        <w:gridCol w:w="655"/>
      </w:tblGrid>
      <w:tr w:rsidR="00512927" w:rsidRPr="00D56E28" w:rsidTr="003E3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4820"/>
              </w:tabs>
              <w:ind w:left="284" w:right="-290"/>
              <w:rPr>
                <w:rFonts w:ascii="Arial Narrow" w:eastAsia="Times New Roman" w:hAnsi="Arial Narrow" w:cs="Courier New"/>
                <w:sz w:val="18"/>
                <w:szCs w:val="18"/>
              </w:rPr>
            </w:pPr>
            <w:r w:rsidRPr="00D56E28">
              <w:rPr>
                <w:rFonts w:ascii="Arial Narrow" w:eastAsia="Times New Roman" w:hAnsi="Arial Narrow" w:cs="Courier New"/>
                <w:sz w:val="18"/>
                <w:szCs w:val="18"/>
                <w:lang w:val="en"/>
              </w:rPr>
              <w:t>Age</w:t>
            </w:r>
          </w:p>
        </w:tc>
        <w:tc>
          <w:tcPr>
            <w:tcW w:w="936" w:type="dxa"/>
          </w:tcPr>
          <w:p w:rsidR="00512927" w:rsidRPr="00D56E28" w:rsidRDefault="00512927" w:rsidP="003E3D03">
            <w:pPr>
              <w:tabs>
                <w:tab w:val="left" w:pos="4820"/>
              </w:tabs>
              <w:ind w:left="34" w:right="-304"/>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w:eastAsia="Arial" w:hAnsi="Arial" w:cs="Arial"/>
                <w:sz w:val="18"/>
                <w:szCs w:val="18"/>
              </w:rPr>
              <w:t>N</w:t>
            </w:r>
          </w:p>
        </w:tc>
        <w:tc>
          <w:tcPr>
            <w:tcW w:w="1036" w:type="dxa"/>
          </w:tcPr>
          <w:p w:rsidR="00512927" w:rsidRPr="00D56E28" w:rsidRDefault="00512927" w:rsidP="003E3D03">
            <w:pPr>
              <w:tabs>
                <w:tab w:val="left" w:pos="4820"/>
              </w:tabs>
              <w:ind w:left="34" w:right="-304"/>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w:eastAsia="Arial" w:hAnsi="Arial" w:cs="Arial"/>
                <w:b w:val="0"/>
                <w:bCs w:val="0"/>
                <w:spacing w:val="-2"/>
                <w:sz w:val="18"/>
                <w:szCs w:val="18"/>
              </w:rPr>
              <w:t>12 - 13</w:t>
            </w:r>
          </w:p>
        </w:tc>
        <w:tc>
          <w:tcPr>
            <w:tcW w:w="9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0</w:t>
            </w:r>
          </w:p>
        </w:tc>
        <w:tc>
          <w:tcPr>
            <w:tcW w:w="1036" w:type="dxa"/>
          </w:tcPr>
          <w:p w:rsidR="00512927" w:rsidRPr="00D56E28" w:rsidRDefault="00512927" w:rsidP="003E3D03">
            <w:pPr>
              <w:tabs>
                <w:tab w:val="left" w:pos="4820"/>
              </w:tabs>
              <w:spacing w:before="12"/>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0</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w:eastAsia="Arial" w:hAnsi="Arial" w:cs="Arial"/>
                <w:b w:val="0"/>
                <w:bCs w:val="0"/>
                <w:spacing w:val="-2"/>
                <w:sz w:val="18"/>
                <w:szCs w:val="18"/>
              </w:rPr>
              <w:t>14 – 15</w:t>
            </w:r>
          </w:p>
        </w:tc>
        <w:tc>
          <w:tcPr>
            <w:tcW w:w="9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27</w:t>
            </w:r>
          </w:p>
        </w:tc>
        <w:tc>
          <w:tcPr>
            <w:tcW w:w="10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75</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w:eastAsia="Arial" w:hAnsi="Arial" w:cs="Arial"/>
                <w:b w:val="0"/>
                <w:bCs w:val="0"/>
                <w:sz w:val="18"/>
                <w:szCs w:val="18"/>
              </w:rPr>
              <w:t>&gt;15</w:t>
            </w:r>
          </w:p>
        </w:tc>
        <w:tc>
          <w:tcPr>
            <w:tcW w:w="9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9</w:t>
            </w:r>
          </w:p>
        </w:tc>
        <w:tc>
          <w:tcPr>
            <w:tcW w:w="10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25</w:t>
            </w:r>
          </w:p>
        </w:tc>
      </w:tr>
      <w:tr w:rsidR="003E3D03"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sz w:val="18"/>
                <w:szCs w:val="18"/>
                <w:lang w:val="en"/>
              </w:rPr>
            </w:pPr>
            <w:r w:rsidRPr="00D56E28">
              <w:rPr>
                <w:rFonts w:ascii="Arial" w:eastAsia="Arial" w:hAnsi="Arial" w:cs="Arial"/>
                <w:sz w:val="18"/>
                <w:szCs w:val="18"/>
              </w:rPr>
              <w:t xml:space="preserve">Class Grade </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w:eastAsia="Arial" w:hAnsi="Arial" w:cs="Arial"/>
                <w:sz w:val="18"/>
                <w:szCs w:val="18"/>
              </w:rPr>
              <w:t>N</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z w:val="18"/>
                <w:szCs w:val="18"/>
              </w:rPr>
            </w:pPr>
            <w:r w:rsidRPr="00D56E28">
              <w:rPr>
                <w:rFonts w:ascii="Arial" w:eastAsia="Arial" w:hAnsi="Arial" w:cs="Arial"/>
                <w:b w:val="0"/>
                <w:bCs w:val="0"/>
                <w:spacing w:val="-1"/>
                <w:sz w:val="18"/>
                <w:szCs w:val="18"/>
              </w:rPr>
              <w:t>7</w:t>
            </w:r>
            <w:r w:rsidRPr="00D56E28">
              <w:rPr>
                <w:rFonts w:ascii="Arial" w:eastAsia="Arial" w:hAnsi="Arial" w:cs="Arial"/>
                <w:b w:val="0"/>
                <w:bCs w:val="0"/>
                <w:spacing w:val="-1"/>
                <w:sz w:val="18"/>
                <w:szCs w:val="18"/>
                <w:vertAlign w:val="superscript"/>
              </w:rPr>
              <w:t>th</w:t>
            </w:r>
          </w:p>
        </w:tc>
        <w:tc>
          <w:tcPr>
            <w:tcW w:w="9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30</w:t>
            </w:r>
          </w:p>
        </w:tc>
        <w:tc>
          <w:tcPr>
            <w:tcW w:w="10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83</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8</w:t>
            </w:r>
            <w:r w:rsidRPr="00D56E28">
              <w:rPr>
                <w:rFonts w:ascii="Arial" w:eastAsia="Arial" w:hAnsi="Arial" w:cs="Arial"/>
                <w:b w:val="0"/>
                <w:bCs w:val="0"/>
                <w:spacing w:val="-1"/>
                <w:sz w:val="18"/>
                <w:szCs w:val="18"/>
                <w:vertAlign w:val="superscript"/>
              </w:rPr>
              <w:t>th</w:t>
            </w:r>
          </w:p>
        </w:tc>
        <w:tc>
          <w:tcPr>
            <w:tcW w:w="9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4</w:t>
            </w:r>
          </w:p>
        </w:tc>
        <w:tc>
          <w:tcPr>
            <w:tcW w:w="10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11</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9</w:t>
            </w:r>
            <w:r w:rsidRPr="00D56E28">
              <w:rPr>
                <w:rFonts w:ascii="Arial" w:eastAsia="Arial" w:hAnsi="Arial" w:cs="Arial"/>
                <w:b w:val="0"/>
                <w:bCs w:val="0"/>
                <w:spacing w:val="-1"/>
                <w:sz w:val="18"/>
                <w:szCs w:val="18"/>
                <w:vertAlign w:val="superscript"/>
              </w:rPr>
              <w:t>th</w:t>
            </w:r>
            <w:r w:rsidRPr="00D56E28">
              <w:rPr>
                <w:rFonts w:ascii="Arial" w:eastAsia="Arial" w:hAnsi="Arial" w:cs="Arial"/>
                <w:b w:val="0"/>
                <w:bCs w:val="0"/>
                <w:spacing w:val="-1"/>
                <w:sz w:val="18"/>
                <w:szCs w:val="18"/>
              </w:rPr>
              <w:t xml:space="preserve"> </w:t>
            </w:r>
          </w:p>
        </w:tc>
        <w:tc>
          <w:tcPr>
            <w:tcW w:w="9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2</w:t>
            </w:r>
          </w:p>
        </w:tc>
        <w:tc>
          <w:tcPr>
            <w:tcW w:w="103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6</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spacing w:val="-1"/>
                <w:sz w:val="18"/>
                <w:szCs w:val="18"/>
              </w:rPr>
            </w:pPr>
            <w:r w:rsidRPr="00D56E28">
              <w:rPr>
                <w:rFonts w:ascii="Arial" w:eastAsia="Arial" w:hAnsi="Arial" w:cs="Arial"/>
                <w:spacing w:val="-1"/>
                <w:sz w:val="18"/>
                <w:szCs w:val="18"/>
              </w:rPr>
              <w:t>Father’s education Level</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w:eastAsia="Arial" w:hAnsi="Arial" w:cs="Arial"/>
                <w:sz w:val="18"/>
                <w:szCs w:val="18"/>
              </w:rPr>
              <w:t>N</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Completed Elementary School</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Completed Junior High School</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4</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11</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Completed High School</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26</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72</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Bachelor Degree</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5</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13</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Master’s Degree</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0</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0</w:t>
            </w:r>
          </w:p>
        </w:tc>
      </w:tr>
      <w:tr w:rsidR="00512927" w:rsidRPr="00D56E28" w:rsidTr="003E3D03">
        <w:trPr>
          <w:trHeight w:val="422"/>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Doctoral Degree</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0</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0</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spacing w:val="-1"/>
                <w:sz w:val="18"/>
                <w:szCs w:val="18"/>
              </w:rPr>
            </w:pPr>
            <w:r w:rsidRPr="00D56E28">
              <w:rPr>
                <w:rFonts w:ascii="Arial" w:eastAsia="Arial" w:hAnsi="Arial" w:cs="Arial"/>
                <w:spacing w:val="-1"/>
                <w:sz w:val="18"/>
                <w:szCs w:val="18"/>
              </w:rPr>
              <w:t>Mother’s education Level</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w:eastAsia="Arial" w:hAnsi="Arial" w:cs="Arial"/>
                <w:sz w:val="18"/>
                <w:szCs w:val="18"/>
              </w:rPr>
              <w:t>N</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Completed Elementary School</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6</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17</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Completed Junior High School</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Completed High School</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22</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61</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Bachelor Degree</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6</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16</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Master’s Degree</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Doctoral Degree</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0</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0</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spacing w:val="-1"/>
                <w:sz w:val="18"/>
                <w:szCs w:val="18"/>
              </w:rPr>
            </w:pPr>
            <w:r w:rsidRPr="00D56E28">
              <w:rPr>
                <w:rFonts w:ascii="Arial" w:eastAsia="Arial" w:hAnsi="Arial" w:cs="Arial"/>
                <w:spacing w:val="-1"/>
                <w:sz w:val="18"/>
                <w:szCs w:val="18"/>
              </w:rPr>
              <w:t>Father’s Occupation</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Civil Servant/Police/TNI/BUMN</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Private sector employee</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3</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8</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Private sector</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18</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50</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Laborer</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3</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8</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Unemployed</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0</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0</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Other</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11</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31</w:t>
            </w:r>
          </w:p>
        </w:tc>
      </w:tr>
      <w:tr w:rsidR="003E3D03"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spacing w:val="-1"/>
                <w:sz w:val="18"/>
                <w:szCs w:val="18"/>
              </w:rPr>
            </w:pPr>
            <w:r w:rsidRPr="00D56E28">
              <w:rPr>
                <w:rFonts w:ascii="Arial" w:eastAsia="Arial" w:hAnsi="Arial" w:cs="Arial"/>
                <w:spacing w:val="-1"/>
                <w:sz w:val="18"/>
                <w:szCs w:val="18"/>
              </w:rPr>
              <w:t>Mother’s Occupation</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w:eastAsia="Arial" w:hAnsi="Arial" w:cs="Arial"/>
                <w:sz w:val="18"/>
                <w:szCs w:val="18"/>
              </w:rPr>
              <w:t>N</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w:t>
            </w:r>
          </w:p>
        </w:tc>
      </w:tr>
      <w:tr w:rsidR="003E3D03"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Civil Servant/Police/TNI/BUMN</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2</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6</w:t>
            </w:r>
          </w:p>
        </w:tc>
      </w:tr>
      <w:tr w:rsidR="003E3D03"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Private sector employee</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3</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8</w:t>
            </w:r>
          </w:p>
        </w:tc>
      </w:tr>
      <w:tr w:rsidR="003E3D03"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Private sector</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11</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31</w:t>
            </w:r>
          </w:p>
        </w:tc>
      </w:tr>
      <w:tr w:rsidR="003E3D03"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Laborer</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0</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0</w:t>
            </w:r>
          </w:p>
        </w:tc>
      </w:tr>
      <w:tr w:rsidR="003E3D03" w:rsidRPr="00D56E28" w:rsidTr="003E3D03">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Unemployed</w:t>
            </w:r>
          </w:p>
        </w:tc>
        <w:tc>
          <w:tcPr>
            <w:tcW w:w="9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9</w:t>
            </w:r>
          </w:p>
        </w:tc>
        <w:tc>
          <w:tcPr>
            <w:tcW w:w="1036" w:type="dxa"/>
          </w:tcPr>
          <w:p w:rsidR="00512927" w:rsidRPr="00D56E28" w:rsidRDefault="00512927" w:rsidP="003E3D03">
            <w:pPr>
              <w:tabs>
                <w:tab w:val="left" w:pos="4820"/>
              </w:tabs>
              <w:ind w:left="34" w:right="-304"/>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24</w:t>
            </w:r>
          </w:p>
        </w:tc>
      </w:tr>
      <w:tr w:rsidR="003E3D03"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2"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w:eastAsia="Arial" w:hAnsi="Arial" w:cs="Arial"/>
                <w:b w:val="0"/>
                <w:bCs w:val="0"/>
                <w:spacing w:val="-1"/>
                <w:sz w:val="18"/>
                <w:szCs w:val="18"/>
              </w:rPr>
            </w:pPr>
            <w:r w:rsidRPr="00D56E28">
              <w:rPr>
                <w:rFonts w:ascii="Arial" w:eastAsia="Arial" w:hAnsi="Arial" w:cs="Arial"/>
                <w:b w:val="0"/>
                <w:bCs w:val="0"/>
                <w:spacing w:val="-1"/>
                <w:sz w:val="18"/>
                <w:szCs w:val="18"/>
              </w:rPr>
              <w:t>Other</w:t>
            </w:r>
          </w:p>
        </w:tc>
        <w:tc>
          <w:tcPr>
            <w:tcW w:w="9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D56E28">
              <w:rPr>
                <w:rFonts w:ascii="Arial" w:eastAsia="Arial" w:hAnsi="Arial" w:cs="Arial"/>
                <w:sz w:val="18"/>
                <w:szCs w:val="18"/>
              </w:rPr>
              <w:t>11</w:t>
            </w:r>
          </w:p>
        </w:tc>
        <w:tc>
          <w:tcPr>
            <w:tcW w:w="1036" w:type="dxa"/>
          </w:tcPr>
          <w:p w:rsidR="00512927" w:rsidRPr="00D56E28" w:rsidRDefault="00512927" w:rsidP="003E3D03">
            <w:pPr>
              <w:tabs>
                <w:tab w:val="left" w:pos="4820"/>
              </w:tabs>
              <w:ind w:left="34" w:right="-304"/>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31</w:t>
            </w:r>
          </w:p>
        </w:tc>
      </w:tr>
    </w:tbl>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center"/>
        <w:rPr>
          <w:rFonts w:ascii="Arial Narrow" w:eastAsia="Times New Roman" w:hAnsi="Arial Narrow" w:cs="Courier New"/>
          <w:lang w:val="en"/>
        </w:rPr>
      </w:pP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
        </w:rPr>
      </w:pPr>
      <w:r w:rsidRPr="00D630F6">
        <w:rPr>
          <w:rFonts w:ascii="Arial Narrow" w:eastAsia="Times New Roman" w:hAnsi="Arial Narrow" w:cs="Courier New"/>
        </w:rPr>
        <w:t xml:space="preserve">The hypothesis in this study states that if the </w:t>
      </w:r>
      <w:r w:rsidRPr="00D630F6">
        <w:rPr>
          <w:rFonts w:ascii="Arial Narrow" w:eastAsia="Times New Roman" w:hAnsi="Arial Narrow" w:cs="Courier New"/>
          <w:i/>
          <w:iCs/>
        </w:rPr>
        <w:t>p</w:t>
      </w:r>
      <w:r w:rsidRPr="00D630F6">
        <w:rPr>
          <w:rFonts w:ascii="Arial Narrow" w:eastAsia="Times New Roman" w:hAnsi="Arial Narrow" w:cs="Courier New"/>
        </w:rPr>
        <w:t xml:space="preserve">-value is less than &lt;0.05, then Ha is accepted, meaning that there is a relationship between the variables examined and adolescents’ decisions to consume iron tablets. Conversely, if the two-tailed </w:t>
      </w:r>
      <w:r w:rsidRPr="00D630F6">
        <w:rPr>
          <w:rFonts w:ascii="Arial Narrow" w:eastAsia="Times New Roman" w:hAnsi="Arial Narrow" w:cs="Courier New"/>
          <w:i/>
          <w:iCs/>
        </w:rPr>
        <w:t>p</w:t>
      </w:r>
      <w:r w:rsidRPr="00D630F6">
        <w:rPr>
          <w:rFonts w:ascii="Arial Narrow" w:eastAsia="Times New Roman" w:hAnsi="Arial Narrow" w:cs="Courier New"/>
        </w:rPr>
        <w:t>-value is greater than &gt;0.05, then Ha is rejected. This indicates that there is no significant relationship between the variables studied and adolescents’ decisions to consume iron tablets.</w:t>
      </w:r>
    </w:p>
    <w:p w:rsidR="00512927" w:rsidRDefault="00512927" w:rsidP="00512927">
      <w:pPr>
        <w:pStyle w:val="HTMLPreformatted"/>
        <w:tabs>
          <w:tab w:val="clear" w:pos="4580"/>
          <w:tab w:val="left" w:pos="4820"/>
        </w:tabs>
        <w:ind w:left="284" w:right="-290"/>
        <w:rPr>
          <w:rStyle w:val="y2iqfc"/>
          <w:rFonts w:eastAsiaTheme="majorEastAsia"/>
          <w:lang w:val="en"/>
        </w:rPr>
      </w:pPr>
    </w:p>
    <w:p w:rsidR="00512927" w:rsidRPr="00281E41"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290"/>
        <w:jc w:val="center"/>
        <w:rPr>
          <w:rFonts w:ascii="Arial Narrow" w:eastAsia="Times New Roman" w:hAnsi="Arial Narrow" w:cs="Courier New"/>
          <w:lang w:val="en"/>
        </w:rPr>
      </w:pPr>
      <w:r w:rsidRPr="00281E41">
        <w:rPr>
          <w:rFonts w:ascii="Arial Narrow" w:eastAsia="Times New Roman" w:hAnsi="Arial Narrow" w:cs="Courier New"/>
          <w:lang w:val="en"/>
        </w:rPr>
        <w:t xml:space="preserve">Table </w:t>
      </w:r>
      <w:r>
        <w:rPr>
          <w:rFonts w:ascii="Arial Narrow" w:eastAsia="Times New Roman" w:hAnsi="Arial Narrow" w:cs="Courier New"/>
          <w:lang w:val="en"/>
        </w:rPr>
        <w:t>2</w:t>
      </w:r>
    </w:p>
    <w:p w:rsidR="00512927"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290"/>
        <w:rPr>
          <w:rFonts w:ascii="Arial Narrow" w:eastAsia="Times New Roman" w:hAnsi="Arial Narrow" w:cs="Courier New"/>
        </w:rPr>
      </w:pPr>
      <w:r>
        <w:rPr>
          <w:rFonts w:ascii="Arial Narrow" w:eastAsia="Times New Roman" w:hAnsi="Arial Narrow" w:cs="Courier New"/>
          <w:lang w:val="en"/>
        </w:rPr>
        <w:t>Chi-</w:t>
      </w:r>
      <w:r w:rsidRPr="00D630F6">
        <w:rPr>
          <w:rFonts w:ascii="Arial Narrow" w:eastAsia="Times New Roman" w:hAnsi="Arial Narrow" w:cs="Courier New"/>
        </w:rPr>
        <w:t>Square Test Results on the Relationship Between Variables and Adolescents’ Decisions to Consume Iron Tablets</w:t>
      </w:r>
    </w:p>
    <w:tbl>
      <w:tblPr>
        <w:tblStyle w:val="PlainTable2"/>
        <w:tblW w:w="4252" w:type="dxa"/>
        <w:tblInd w:w="426" w:type="dxa"/>
        <w:tblLook w:val="04A0" w:firstRow="1" w:lastRow="0" w:firstColumn="1" w:lastColumn="0" w:noHBand="0" w:noVBand="1"/>
      </w:tblPr>
      <w:tblGrid>
        <w:gridCol w:w="1591"/>
        <w:gridCol w:w="1345"/>
        <w:gridCol w:w="1316"/>
      </w:tblGrid>
      <w:tr w:rsidR="00512927" w:rsidRPr="00D56E28" w:rsidTr="003E3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4820"/>
              </w:tabs>
              <w:ind w:left="284" w:right="-290"/>
              <w:rPr>
                <w:rFonts w:ascii="Arial Narrow" w:eastAsia="Times New Roman" w:hAnsi="Arial Narrow" w:cs="Courier New"/>
                <w:sz w:val="18"/>
                <w:szCs w:val="18"/>
              </w:rPr>
            </w:pPr>
            <w:r w:rsidRPr="00D56E28">
              <w:rPr>
                <w:rFonts w:ascii="Arial Narrow" w:eastAsia="Times New Roman" w:hAnsi="Arial Narrow" w:cs="Courier New"/>
                <w:sz w:val="18"/>
                <w:szCs w:val="18"/>
                <w:lang w:val="en"/>
              </w:rPr>
              <w:t>Variables</w:t>
            </w:r>
          </w:p>
        </w:tc>
        <w:tc>
          <w:tcPr>
            <w:tcW w:w="1345" w:type="dxa"/>
          </w:tcPr>
          <w:p w:rsidR="00512927" w:rsidRPr="00D56E28" w:rsidRDefault="00512927" w:rsidP="003E3D03">
            <w:pPr>
              <w:tabs>
                <w:tab w:val="left" w:pos="4820"/>
              </w:tabs>
              <w:ind w:left="284" w:right="-29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Intervention result (%)</w:t>
            </w:r>
          </w:p>
        </w:tc>
        <w:tc>
          <w:tcPr>
            <w:tcW w:w="1316" w:type="dxa"/>
          </w:tcPr>
          <w:p w:rsidR="00512927" w:rsidRPr="00D56E28" w:rsidRDefault="00512927" w:rsidP="003E3D03">
            <w:pPr>
              <w:tabs>
                <w:tab w:val="left" w:pos="4820"/>
              </w:tabs>
              <w:ind w:left="284" w:right="-290"/>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rPr>
            </w:pPr>
            <w:r w:rsidRPr="00D56E28">
              <w:rPr>
                <w:rFonts w:ascii="Arial Narrow" w:eastAsia="Times New Roman" w:hAnsi="Arial Narrow" w:cs="Courier New"/>
                <w:sz w:val="18"/>
                <w:szCs w:val="18"/>
              </w:rPr>
              <w:t>Chi-square result</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Perceptions</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p>
        </w:tc>
        <w:tc>
          <w:tcPr>
            <w:tcW w:w="1316" w:type="dxa"/>
          </w:tcPr>
          <w:p w:rsidR="00512927" w:rsidRPr="00D56E28" w:rsidRDefault="00512927" w:rsidP="003E3D03">
            <w:pPr>
              <w:tabs>
                <w:tab w:val="left" w:pos="4820"/>
              </w:tabs>
              <w:spacing w:before="12"/>
              <w:ind w:left="284" w:right="-290"/>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w:eastAsia="Arial" w:hAnsi="Arial" w:cs="Arial"/>
                <w:b w:val="0"/>
                <w:bCs w:val="0"/>
                <w:spacing w:val="-2"/>
                <w:sz w:val="18"/>
                <w:szCs w:val="18"/>
              </w:rPr>
              <w:t>Positive</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26 (72%)</w:t>
            </w:r>
          </w:p>
        </w:tc>
        <w:tc>
          <w:tcPr>
            <w:tcW w:w="131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0,367</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w:eastAsia="Arial" w:hAnsi="Arial" w:cs="Arial"/>
                <w:b w:val="0"/>
                <w:bCs w:val="0"/>
                <w:sz w:val="18"/>
                <w:szCs w:val="18"/>
              </w:rPr>
              <w:t>Negative</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10 (32%)</w:t>
            </w:r>
          </w:p>
        </w:tc>
        <w:tc>
          <w:tcPr>
            <w:tcW w:w="131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Media Information Exposure</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p>
        </w:tc>
        <w:tc>
          <w:tcPr>
            <w:tcW w:w="1316" w:type="dxa"/>
          </w:tcPr>
          <w:p w:rsidR="00512927" w:rsidRPr="00D56E28" w:rsidRDefault="00512927" w:rsidP="003E3D03">
            <w:pPr>
              <w:tabs>
                <w:tab w:val="left" w:pos="4820"/>
              </w:tabs>
              <w:spacing w:before="12"/>
              <w:ind w:left="284" w:right="-290"/>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Narrow" w:eastAsia="Times New Roman" w:hAnsi="Arial Narrow" w:cs="Courier New"/>
                <w:b w:val="0"/>
                <w:bCs w:val="0"/>
                <w:sz w:val="18"/>
                <w:szCs w:val="18"/>
                <w:lang w:val="en"/>
              </w:rPr>
              <w:t>High</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32 (89%)</w:t>
            </w:r>
          </w:p>
        </w:tc>
        <w:tc>
          <w:tcPr>
            <w:tcW w:w="131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b/>
                <w:bCs/>
                <w:sz w:val="18"/>
                <w:szCs w:val="18"/>
                <w:lang w:val="en"/>
              </w:rPr>
            </w:pPr>
            <w:r w:rsidRPr="00D56E28">
              <w:rPr>
                <w:rFonts w:ascii="Arial Narrow" w:eastAsia="Times New Roman" w:hAnsi="Arial Narrow" w:cs="Courier New"/>
                <w:b/>
                <w:bCs/>
                <w:sz w:val="18"/>
                <w:szCs w:val="18"/>
                <w:lang w:val="en"/>
              </w:rPr>
              <w:t>0,028</w:t>
            </w: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w:eastAsia="Arial" w:hAnsi="Arial" w:cs="Arial"/>
                <w:b w:val="0"/>
                <w:bCs w:val="0"/>
                <w:sz w:val="18"/>
                <w:szCs w:val="18"/>
              </w:rPr>
              <w:t>Low</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4 (11%)</w:t>
            </w:r>
          </w:p>
        </w:tc>
        <w:tc>
          <w:tcPr>
            <w:tcW w:w="131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b/>
                <w:bCs/>
                <w:sz w:val="18"/>
                <w:szCs w:val="18"/>
                <w:lang w:val="en"/>
              </w:rPr>
            </w:pP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Peers influence</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p>
        </w:tc>
        <w:tc>
          <w:tcPr>
            <w:tcW w:w="1316" w:type="dxa"/>
          </w:tcPr>
          <w:p w:rsidR="00512927" w:rsidRPr="00D56E28" w:rsidRDefault="00512927" w:rsidP="003E3D03">
            <w:pPr>
              <w:tabs>
                <w:tab w:val="left" w:pos="4820"/>
              </w:tabs>
              <w:spacing w:before="12"/>
              <w:ind w:left="284" w:right="-290"/>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18"/>
                <w:szCs w:val="18"/>
              </w:rPr>
            </w:pPr>
          </w:p>
        </w:tc>
      </w:tr>
      <w:tr w:rsidR="00512927" w:rsidRPr="00D56E28" w:rsidTr="003E3D03">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Narrow" w:eastAsia="Times New Roman" w:hAnsi="Arial Narrow" w:cs="Courier New"/>
                <w:b w:val="0"/>
                <w:bCs w:val="0"/>
                <w:sz w:val="18"/>
                <w:szCs w:val="18"/>
                <w:lang w:val="en"/>
              </w:rPr>
              <w:t>Favorable</w:t>
            </w:r>
          </w:p>
        </w:tc>
        <w:tc>
          <w:tcPr>
            <w:tcW w:w="1345"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34 (94%)</w:t>
            </w:r>
          </w:p>
        </w:tc>
        <w:tc>
          <w:tcPr>
            <w:tcW w:w="131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ourier New"/>
                <w:b/>
                <w:bCs/>
                <w:sz w:val="18"/>
                <w:szCs w:val="18"/>
                <w:lang w:val="en"/>
              </w:rPr>
            </w:pPr>
            <w:r w:rsidRPr="00D56E28">
              <w:rPr>
                <w:rFonts w:ascii="Arial Narrow" w:eastAsia="Times New Roman" w:hAnsi="Arial Narrow" w:cs="Courier New"/>
                <w:b/>
                <w:bCs/>
                <w:sz w:val="18"/>
                <w:szCs w:val="18"/>
                <w:lang w:val="en"/>
              </w:rPr>
              <w:t>0,005</w:t>
            </w:r>
          </w:p>
        </w:tc>
      </w:tr>
      <w:tr w:rsidR="00512927" w:rsidRPr="00D56E28" w:rsidTr="003E3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rPr>
                <w:rFonts w:ascii="Arial Narrow" w:eastAsia="Times New Roman" w:hAnsi="Arial Narrow" w:cs="Courier New"/>
                <w:b w:val="0"/>
                <w:bCs w:val="0"/>
                <w:sz w:val="18"/>
                <w:szCs w:val="18"/>
                <w:lang w:val="en"/>
              </w:rPr>
            </w:pPr>
            <w:r w:rsidRPr="00D56E28">
              <w:rPr>
                <w:rFonts w:ascii="Arial Narrow" w:eastAsia="Times New Roman" w:hAnsi="Arial Narrow" w:cs="Courier New"/>
                <w:b w:val="0"/>
                <w:bCs w:val="0"/>
                <w:sz w:val="18"/>
                <w:szCs w:val="18"/>
                <w:lang w:val="en"/>
              </w:rPr>
              <w:t>Un-favorable</w:t>
            </w:r>
          </w:p>
        </w:tc>
        <w:tc>
          <w:tcPr>
            <w:tcW w:w="1345" w:type="dxa"/>
          </w:tcPr>
          <w:p w:rsidR="00512927" w:rsidRPr="00D56E28" w:rsidRDefault="00512927" w:rsidP="003E3D03">
            <w:pPr>
              <w:pStyle w:val="ListParagraph"/>
              <w:numPr>
                <w:ilvl w:val="0"/>
                <w:numId w:val="4"/>
              </w:num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r w:rsidRPr="00D56E28">
              <w:rPr>
                <w:rFonts w:ascii="Arial Narrow" w:eastAsia="Times New Roman" w:hAnsi="Arial Narrow" w:cs="Courier New"/>
                <w:sz w:val="18"/>
                <w:szCs w:val="18"/>
                <w:lang w:val="en"/>
              </w:rPr>
              <w:t>(6%)</w:t>
            </w:r>
          </w:p>
        </w:tc>
        <w:tc>
          <w:tcPr>
            <w:tcW w:w="1316" w:type="dxa"/>
          </w:tcPr>
          <w:p w:rsidR="00512927" w:rsidRPr="00D56E28" w:rsidRDefault="00512927" w:rsidP="003E3D03">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9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ourier New"/>
                <w:sz w:val="18"/>
                <w:szCs w:val="18"/>
                <w:lang w:val="en"/>
              </w:rPr>
            </w:pPr>
          </w:p>
        </w:tc>
      </w:tr>
    </w:tbl>
    <w:p w:rsidR="00512927" w:rsidRDefault="00512927" w:rsidP="00512927">
      <w:pPr>
        <w:pStyle w:val="NormalWeb"/>
        <w:tabs>
          <w:tab w:val="left" w:pos="4820"/>
        </w:tabs>
        <w:ind w:left="284" w:right="-290"/>
        <w:jc w:val="both"/>
        <w:rPr>
          <w:rFonts w:ascii="Arial Narrow" w:hAnsi="Arial Narrow"/>
          <w:sz w:val="22"/>
          <w:szCs w:val="22"/>
        </w:rPr>
      </w:pPr>
      <w:r w:rsidRPr="00D56E28">
        <w:rPr>
          <w:rFonts w:ascii="Arial Narrow" w:hAnsi="Arial Narrow"/>
          <w:sz w:val="22"/>
          <w:szCs w:val="22"/>
        </w:rPr>
        <w:t>The table above presents the chi-square test results examining the relationship between perception, media exposure, and peer influence on adolescents’ decisions to consume iron tablets. The Asymptotic Significance value for perception was 0.367. Since this value is greater than 0.05 (0.367 &gt; 0.05), it can be concluded that there is no significant association between perception and decision-making. This indicates that individual perceptions alone do not correlate with the decision to consume iron tablets. In contrast, the Asymptotic Significance value for media exposure was 0.028. Because this value is less than 0.05 (0.028 &lt; 0.05), the results demonstrate a significant relationship between media exposure and adolescents’ decision-making. This finding suggests that exposure to information media plays an influential role in shaping decisions related to iron tablet consumption.</w:t>
      </w:r>
      <w:r>
        <w:rPr>
          <w:rFonts w:ascii="Arial Narrow" w:hAnsi="Arial Narrow"/>
          <w:sz w:val="22"/>
          <w:szCs w:val="22"/>
        </w:rPr>
        <w:t xml:space="preserve"> </w:t>
      </w:r>
      <w:r w:rsidRPr="00D56E28">
        <w:rPr>
          <w:rFonts w:ascii="Arial Narrow" w:hAnsi="Arial Narrow"/>
          <w:sz w:val="22"/>
          <w:szCs w:val="22"/>
        </w:rPr>
        <w:t xml:space="preserve">Similarly, the Asymptotic Significance value for peer influence was 0.005. As this value is less than 0.05 (0.005 &lt; 0.05), it can be concluded that peer influence is significantly associated with adolescents’ decisions to consume iron tablets. This underscores the important role peers play in reinforcing or discouraging health-related </w:t>
      </w:r>
      <w:proofErr w:type="spellStart"/>
      <w:r w:rsidRPr="00D56E28">
        <w:rPr>
          <w:rFonts w:ascii="Arial Narrow" w:hAnsi="Arial Narrow"/>
          <w:sz w:val="22"/>
          <w:szCs w:val="22"/>
        </w:rPr>
        <w:t>behaviors</w:t>
      </w:r>
      <w:proofErr w:type="spellEnd"/>
      <w:r w:rsidRPr="00D56E28">
        <w:rPr>
          <w:rFonts w:ascii="Arial Narrow" w:hAnsi="Arial Narrow"/>
          <w:sz w:val="22"/>
          <w:szCs w:val="22"/>
        </w:rPr>
        <w:t xml:space="preserve">. In summary, the analysis reveals that perception does not have a significant impact on adolescents’ decisions to consume iron tablets, whereas media </w:t>
      </w:r>
      <w:r w:rsidRPr="00D56E28">
        <w:rPr>
          <w:rFonts w:ascii="Arial Narrow" w:hAnsi="Arial Narrow"/>
          <w:sz w:val="22"/>
          <w:szCs w:val="22"/>
        </w:rPr>
        <w:lastRenderedPageBreak/>
        <w:t xml:space="preserve">exposure and peer influence both demonstrate strong and significant correlations. These findings indicate that the way adolescents process information about iron tablets and the frequency with which they are exposed to such information across various media platforms are critical factors influencing their decisions. Furthermore, peer influence appears to be equally important, suggesting that adolescents’ health </w:t>
      </w:r>
      <w:proofErr w:type="spellStart"/>
      <w:r w:rsidRPr="00D56E28">
        <w:rPr>
          <w:rFonts w:ascii="Arial Narrow" w:hAnsi="Arial Narrow"/>
          <w:sz w:val="22"/>
          <w:szCs w:val="22"/>
        </w:rPr>
        <w:t>behaviors</w:t>
      </w:r>
      <w:proofErr w:type="spellEnd"/>
      <w:r w:rsidRPr="00D56E28">
        <w:rPr>
          <w:rFonts w:ascii="Arial Narrow" w:hAnsi="Arial Narrow"/>
          <w:sz w:val="22"/>
          <w:szCs w:val="22"/>
        </w:rPr>
        <w:t xml:space="preserve"> are strongly shaped by their social environment.</w:t>
      </w:r>
    </w:p>
    <w:p w:rsidR="00512927" w:rsidRPr="00DB382A" w:rsidRDefault="00512927" w:rsidP="00512927">
      <w:pPr>
        <w:pStyle w:val="NormalWeb"/>
        <w:numPr>
          <w:ilvl w:val="0"/>
          <w:numId w:val="5"/>
        </w:numPr>
        <w:tabs>
          <w:tab w:val="left" w:pos="4820"/>
        </w:tabs>
        <w:spacing w:before="0" w:beforeAutospacing="0" w:after="0" w:afterAutospacing="0"/>
        <w:ind w:left="284" w:right="-290"/>
        <w:jc w:val="both"/>
        <w:rPr>
          <w:rFonts w:ascii="Arial Narrow" w:hAnsi="Arial Narrow"/>
          <w:i/>
          <w:iCs/>
          <w:sz w:val="22"/>
          <w:szCs w:val="22"/>
        </w:rPr>
      </w:pPr>
      <w:r w:rsidRPr="00DB382A">
        <w:rPr>
          <w:rFonts w:ascii="Arial Narrow" w:hAnsi="Arial Narrow" w:cs="Courier New"/>
          <w:i/>
          <w:iCs/>
          <w:sz w:val="22"/>
          <w:szCs w:val="22"/>
        </w:rPr>
        <w:t>The Relationship Between Adolescents’ Perceptions and Their Decision to Consume Iron Tablets</w:t>
      </w:r>
    </w:p>
    <w:p w:rsidR="00512927" w:rsidRPr="005C2D67" w:rsidRDefault="00512927" w:rsidP="00512927">
      <w:pPr>
        <w:pStyle w:val="NormalWeb"/>
        <w:tabs>
          <w:tab w:val="left" w:pos="4820"/>
        </w:tabs>
        <w:spacing w:before="0" w:beforeAutospacing="0" w:after="0" w:afterAutospacing="0"/>
        <w:ind w:left="284" w:right="-290"/>
        <w:jc w:val="both"/>
        <w:rPr>
          <w:rFonts w:ascii="Arial Narrow" w:hAnsi="Arial Narrow" w:cs="Courier New"/>
          <w:sz w:val="22"/>
          <w:szCs w:val="22"/>
        </w:rPr>
      </w:pPr>
      <w:r w:rsidRPr="00D56E28">
        <w:rPr>
          <w:rFonts w:ascii="Arial Narrow" w:hAnsi="Arial Narrow" w:cs="Courier New"/>
          <w:sz w:val="22"/>
          <w:szCs w:val="22"/>
        </w:rPr>
        <w:t>This study found no significant association between adolescents’ perceptions and their decisions to consume iron tablets. This result contrasts with the majority of previous research, which has demonstrated that positive perceptions of benefits, low perceived barriers, and higher self-efficacy are strongly correlated with adherence to iron tablet consumption.</w:t>
      </w:r>
      <w:r w:rsidRPr="00D56E28">
        <w:rPr>
          <w:rFonts w:ascii="Arial Narrow" w:hAnsi="Arial Narrow" w:cs="Arial"/>
          <w:sz w:val="22"/>
          <w:szCs w:val="22"/>
        </w:rPr>
        <w:fldChar w:fldCharType="begin" w:fldLock="1"/>
      </w:r>
      <w:r>
        <w:rPr>
          <w:rFonts w:ascii="Arial Narrow" w:hAnsi="Arial Narrow" w:cs="Arial"/>
          <w:sz w:val="22"/>
          <w:szCs w:val="22"/>
        </w:rPr>
        <w:instrText>ADDIN CSL_CITATION {"citationItems":[{"id":"ITEM-1","itemData":{"DOI":"10.24853/jkk.15.2.119-129","ISSN":"0216-3942","abstract":"Anemia Gizi Besi (AGB) mempunyai dampak yang serius, baik pada ibu hamil maupun pada remaja. Sangat penting mengatasi anemia pada remaja putri agar masalah anemia tidak berlanjut ketika hamil, salah satunya dengan mengonsumsi Tablet Tambah Darah (TTD) yang mengandung 60 mg Fe elemental dan 0,4 mg asam folat. Penelitian ini bertujuan untuk melihat faktor-faktor apa saja yang berhubungan dengan konsumsi TTD pada remaja putri di Indonesia. Studi penelitian ini adalah literatur review dengan mengekstrak semua penelitian di Indonesia tentang faktor-faktor yang berhubungan dengan konsumsi TTD pada remaja putri (11-19 tahun) di Indonesia. Hasil analisis menunjukkan bahwa faktor-faktor yang berhubungan dengan konsumsi TTD pada remaja putri di Indonesia yaitu dukungan guru (p=0,000 OR=4,7), sikap (p=0,031 OR=2,192), budaya (p=0,012 OR=2,517), dukungan keluarga (p=0,029), perceived threat (p=0,02), perceived benefit (p=0,01), perceived barrier (p=0,02), dan self efficacy (p=0,00). Faktor yang tidak berhubungan yaitu pengetahuan, daya beli, ketersediaan, dukungan orang tua, pendapatan orang tua, perceived susceptibility (persepsi kerentanan), seriousness (keseriusan/keparahan). Faktor yang paling banyak diteliti yaitu tentang pengetahuan dan dukungan orang tua. Faktor-faktor yang berhubungan dengan kepatuhan remaja putri dalam mengonsumsi TTD di Indonesia yaitu dukungan guru, sikap, budaya, dukungan keluarga, perceived threat (ancaman yang dirasakan),  perceived benefit (manfaat yang dirasakan), perceived barrier (hambatan yang dirasakan), dan self efficacy. Kata kunci: konsumsi tablet tambah darah, remaja putri, anemia ","author":[{"dropping-particle":"","family":"Amir","given":"Nelda","non-dropping-particle":"","parse-names":false,"suffix":""},{"dropping-particle":"","family":"Djokosujono","given":"Kusharisupeni","non-dropping-particle":"","parse-names":false,"suffix":""}],"container-title":"Jurnal Kedokteran dan Kesehatan","id":"ITEM-1","issue":"2","issued":{"date-parts":[["2019"]]},"page":"119","title":"Faktor-Faktor yang Berhubungan dengan Konsumsi Tablet Tambah Darah (TTD) pada Remaja Putri di Indonesia: Literatur Review","type":"article-journal","volume":"15"},"uris":["http://www.mendeley.com/documents/?uuid=7d5d5fad-ab6f-43c8-9c37-e56654493cdf"]}],"mendeley":{"formattedCitation":"(Amir &amp; Djokosujono, 2019)","plainTextFormattedCitation":"(Amir &amp; Djokosujono, 2019)","previouslyFormattedCitation":"(7)"},"properties":{"noteIndex":0},"schema":"https://github.com/citation-style-language/schema/raw/master/csl-citation.json"}</w:instrText>
      </w:r>
      <w:r w:rsidRPr="00D56E28">
        <w:rPr>
          <w:rFonts w:ascii="Arial Narrow" w:hAnsi="Arial Narrow" w:cs="Arial"/>
          <w:sz w:val="22"/>
          <w:szCs w:val="22"/>
        </w:rPr>
        <w:fldChar w:fldCharType="separate"/>
      </w:r>
      <w:r w:rsidRPr="00512927">
        <w:rPr>
          <w:rFonts w:ascii="Arial Narrow" w:hAnsi="Arial Narrow" w:cs="Arial"/>
          <w:noProof/>
          <w:sz w:val="22"/>
          <w:szCs w:val="22"/>
        </w:rPr>
        <w:t>(Amir &amp; Djokosujono, 2019)</w:t>
      </w:r>
      <w:r w:rsidRPr="00D56E28">
        <w:rPr>
          <w:rFonts w:ascii="Arial Narrow" w:hAnsi="Arial Narrow" w:cs="Arial"/>
          <w:sz w:val="22"/>
          <w:szCs w:val="22"/>
        </w:rPr>
        <w:fldChar w:fldCharType="end"/>
      </w:r>
      <w:r>
        <w:rPr>
          <w:rFonts w:ascii="Arial Narrow" w:hAnsi="Arial Narrow" w:cs="Arial"/>
          <w:sz w:val="22"/>
          <w:szCs w:val="22"/>
        </w:rPr>
        <w:t xml:space="preserve"> </w:t>
      </w:r>
      <w:r w:rsidRPr="00D56E28">
        <w:rPr>
          <w:rFonts w:ascii="Arial Narrow" w:hAnsi="Arial Narrow" w:cs="Courier New"/>
          <w:sz w:val="22"/>
          <w:szCs w:val="22"/>
        </w:rPr>
        <w:t xml:space="preserve">Perceptions are generally considered an important determinant of health </w:t>
      </w:r>
      <w:proofErr w:type="spellStart"/>
      <w:r w:rsidRPr="00D56E28">
        <w:rPr>
          <w:rFonts w:ascii="Arial Narrow" w:hAnsi="Arial Narrow" w:cs="Courier New"/>
          <w:sz w:val="22"/>
          <w:szCs w:val="22"/>
        </w:rPr>
        <w:t>behavior</w:t>
      </w:r>
      <w:proofErr w:type="spellEnd"/>
      <w:r w:rsidRPr="00D56E28">
        <w:rPr>
          <w:rFonts w:ascii="Arial Narrow" w:hAnsi="Arial Narrow" w:cs="Courier New"/>
          <w:sz w:val="22"/>
          <w:szCs w:val="22"/>
        </w:rPr>
        <w:t xml:space="preserve">, as described in the Health Belief Model, where perceived susceptibility and perceived benefits influence decision-making. However, our findings suggest that perception alone is insufficient to drive actual consumption </w:t>
      </w:r>
      <w:proofErr w:type="spellStart"/>
      <w:r w:rsidRPr="00D56E28">
        <w:rPr>
          <w:rFonts w:ascii="Arial Narrow" w:hAnsi="Arial Narrow" w:cs="Courier New"/>
          <w:sz w:val="22"/>
          <w:szCs w:val="22"/>
        </w:rPr>
        <w:t>behavior</w:t>
      </w:r>
      <w:proofErr w:type="spellEnd"/>
      <w:r w:rsidRPr="00D56E28">
        <w:rPr>
          <w:rFonts w:ascii="Arial Narrow" w:hAnsi="Arial Narrow" w:cs="Courier New"/>
          <w:sz w:val="22"/>
          <w:szCs w:val="22"/>
        </w:rPr>
        <w:t xml:space="preserve">. Although some respondents expressed positive perceptions toward iron tablets, their decisions did not align with these beliefs. Similar results have been reported in other studies showing that the proportion of adolescents with </w:t>
      </w:r>
      <w:proofErr w:type="spellStart"/>
      <w:r w:rsidRPr="00D56E28">
        <w:rPr>
          <w:rFonts w:ascii="Arial Narrow" w:hAnsi="Arial Narrow" w:cs="Courier New"/>
          <w:sz w:val="22"/>
          <w:szCs w:val="22"/>
        </w:rPr>
        <w:t>favorable</w:t>
      </w:r>
      <w:proofErr w:type="spellEnd"/>
      <w:r w:rsidRPr="00D56E28">
        <w:rPr>
          <w:rFonts w:ascii="Arial Narrow" w:hAnsi="Arial Narrow" w:cs="Courier New"/>
          <w:sz w:val="22"/>
          <w:szCs w:val="22"/>
        </w:rPr>
        <w:t xml:space="preserve"> perceptions but low adherence is comparable to those with negative perceptions.</w:t>
      </w:r>
      <w:r w:rsidRPr="00D56E28">
        <w:rPr>
          <w:rFonts w:ascii="Arial Narrow" w:hAnsi="Arial Narrow" w:cs="Courier New"/>
          <w:sz w:val="22"/>
          <w:szCs w:val="22"/>
        </w:rPr>
        <w:fldChar w:fldCharType="begin" w:fldLock="1"/>
      </w:r>
      <w:r>
        <w:rPr>
          <w:rFonts w:ascii="Arial Narrow" w:hAnsi="Arial Narrow" w:cs="Courier New"/>
          <w:sz w:val="22"/>
          <w:szCs w:val="22"/>
        </w:rPr>
        <w:instrText>ADDIN CSL_CITATION {"citationItems":[{"id":"ITEM-1","itemData":{"DOI":"https://doi.org/10.47650/jpp.v6i2.746","abstract":"/ ABSTRAK Article History Adolescent girls are at high risk of experiencing iron deficiency, resulting in anaemia. One of the efforts made by the government to overcome the health problems of adolescents as expectant mothers are through supplementation with blood-boosting tablets. This study analyzes the consumption behaviour of iron supplement tablets in female adolescents. The population is Cenderawasih University students aged ≤19 years, with a sample size of 119 people. The sampling technique used was purposive sampling and questionnaires as data collection instruments. The chi-square test was used in this study to analyze the relationship between knowledge and perception variables with taking iron tablets. The results showed a relationship between knowledge and the consumption of iron tablets in female adolescents (p = 0.039) and no relationship between female adolescents' perceptions and consumption of iron tablets (p = 0.429).","author":[{"dropping-particle":"","family":"Pamangin","given":"Lisda Oktavia Madu","non-dropping-particle":"","parse-names":false,"suffix":""}],"container-title":"Jurnal Promotif Preventif","id":"ITEM-1","issue":"2","issued":{"date-parts":[["2023"]]},"page":"311-317","title":"Perilaku Konsumsi Tablet Tambah Darah (TTD) pada Remaja Putri","type":"article-journal","volume":"6"},"uris":["http://www.mendeley.com/documents/?uuid=1cf7e02b-f680-4113-9b73-f869dcc98616"]}],"mendeley":{"formattedCitation":"(Pamangin, 2023)","plainTextFormattedCitation":"(Pamangin, 2023)","previouslyFormattedCitation":"(8)"},"properties":{"noteIndex":0},"schema":"https://github.com/citation-style-language/schema/raw/master/csl-citation.json"}</w:instrText>
      </w:r>
      <w:r w:rsidRPr="00D56E28">
        <w:rPr>
          <w:rFonts w:ascii="Arial Narrow" w:hAnsi="Arial Narrow" w:cs="Courier New"/>
          <w:sz w:val="22"/>
          <w:szCs w:val="22"/>
        </w:rPr>
        <w:fldChar w:fldCharType="separate"/>
      </w:r>
      <w:r w:rsidRPr="00512927">
        <w:rPr>
          <w:rFonts w:ascii="Arial Narrow" w:hAnsi="Arial Narrow" w:cs="Courier New"/>
          <w:noProof/>
          <w:sz w:val="22"/>
          <w:szCs w:val="22"/>
        </w:rPr>
        <w:t>(Pamangin, 2023)</w:t>
      </w:r>
      <w:r w:rsidRPr="00D56E28">
        <w:rPr>
          <w:rFonts w:ascii="Arial Narrow" w:hAnsi="Arial Narrow" w:cs="Courier New"/>
          <w:sz w:val="22"/>
          <w:szCs w:val="22"/>
        </w:rPr>
        <w:fldChar w:fldCharType="end"/>
      </w:r>
      <w:r w:rsidRPr="00D56E28">
        <w:rPr>
          <w:rFonts w:ascii="Arial Narrow" w:hAnsi="Arial Narrow" w:cs="Courier New"/>
          <w:sz w:val="22"/>
          <w:szCs w:val="22"/>
        </w:rPr>
        <w:t xml:space="preserve"> This discrepancy may be explained by other moderating factors, such as fear of side effects, limited access to accurate information, or insufficient knowledge regarding </w:t>
      </w:r>
      <w:proofErr w:type="spellStart"/>
      <w:r w:rsidRPr="00D56E28">
        <w:rPr>
          <w:rFonts w:ascii="Arial Narrow" w:hAnsi="Arial Narrow" w:cs="Courier New"/>
          <w:sz w:val="22"/>
          <w:szCs w:val="22"/>
        </w:rPr>
        <w:t>anemia</w:t>
      </w:r>
      <w:proofErr w:type="spellEnd"/>
      <w:r w:rsidRPr="00D56E28">
        <w:rPr>
          <w:rFonts w:ascii="Arial Narrow" w:hAnsi="Arial Narrow" w:cs="Courier New"/>
          <w:sz w:val="22"/>
          <w:szCs w:val="22"/>
        </w:rPr>
        <w:t xml:space="preserve"> and supplementation. Additionally, some adolescents reported consuming iron tablets only when experiencing symptoms of </w:t>
      </w:r>
      <w:proofErr w:type="spellStart"/>
      <w:r w:rsidRPr="00D56E28">
        <w:rPr>
          <w:rFonts w:ascii="Arial Narrow" w:hAnsi="Arial Narrow" w:cs="Courier New"/>
          <w:sz w:val="22"/>
          <w:szCs w:val="22"/>
        </w:rPr>
        <w:t>anemia</w:t>
      </w:r>
      <w:proofErr w:type="spellEnd"/>
      <w:r w:rsidRPr="00D56E28">
        <w:rPr>
          <w:rFonts w:ascii="Arial Narrow" w:hAnsi="Arial Narrow" w:cs="Courier New"/>
          <w:sz w:val="22"/>
          <w:szCs w:val="22"/>
        </w:rPr>
        <w:t xml:space="preserve">, such as dizziness or fatigue, rather than as part of preventive </w:t>
      </w:r>
      <w:proofErr w:type="spellStart"/>
      <w:r w:rsidRPr="00D56E28">
        <w:rPr>
          <w:rFonts w:ascii="Arial Narrow" w:hAnsi="Arial Narrow" w:cs="Courier New"/>
          <w:sz w:val="22"/>
          <w:szCs w:val="22"/>
        </w:rPr>
        <w:t>behavior</w:t>
      </w:r>
      <w:proofErr w:type="spellEnd"/>
      <w:r w:rsidRPr="00D56E28">
        <w:rPr>
          <w:rFonts w:ascii="Arial Narrow" w:hAnsi="Arial Narrow" w:cs="Courier New"/>
          <w:sz w:val="22"/>
          <w:szCs w:val="22"/>
        </w:rPr>
        <w:t>.</w:t>
      </w:r>
      <w:r w:rsidRPr="00D56E28">
        <w:rPr>
          <w:rFonts w:ascii="Arial Narrow" w:hAnsi="Arial Narrow" w:cs="Courier New"/>
          <w:sz w:val="22"/>
          <w:szCs w:val="22"/>
        </w:rPr>
        <w:fldChar w:fldCharType="begin" w:fldLock="1"/>
      </w:r>
      <w:r>
        <w:rPr>
          <w:rFonts w:ascii="Arial Narrow" w:hAnsi="Arial Narrow" w:cs="Courier New"/>
          <w:sz w:val="22"/>
          <w:szCs w:val="22"/>
        </w:rPr>
        <w:instrText>ADDIN CSL_CITATION {"citationItems":[{"id":"ITEM-1","itemData":{"DOI":"https://doi.org/10.47650/jpp.v6i2.746","abstract":"/ ABSTRAK Article History Adolescent girls are at high risk of experiencing iron deficiency, resulting in anaemia. One of the efforts made by the government to overcome the health problems of adolescents as expectant mothers are through supplementation with blood-boosting tablets. This study analyzes the consumption behaviour of iron supplement tablets in female adolescents. The population is Cenderawasih University students aged ≤19 years, with a sample size of 119 people. The sampling technique used was purposive sampling and questionnaires as data collection instruments. The chi-square test was used in this study to analyze the relationship between knowledge and perception variables with taking iron tablets. The results showed a relationship between knowledge and the consumption of iron tablets in female adolescents (p = 0.039) and no relationship between female adolescents' perceptions and consumption of iron tablets (p = 0.429).","author":[{"dropping-particle":"","family":"Pamangin","given":"Lisda Oktavia Madu","non-dropping-particle":"","parse-names":false,"suffix":""}],"container-title":"Jurnal Promotif Preventif","id":"ITEM-1","issue":"2","issued":{"date-parts":[["2023"]]},"page":"311-317","title":"Perilaku Konsumsi Tablet Tambah Darah (TTD) pada Remaja Putri","type":"article-journal","volume":"6"},"uris":["http://www.mendeley.com/documents/?uuid=1cf7e02b-f680-4113-9b73-f869dcc98616"]}],"mendeley":{"formattedCitation":"(Pamangin, 2023)","plainTextFormattedCitation":"(Pamangin, 2023)","previouslyFormattedCitation":"(8)"},"properties":{"noteIndex":0},"schema":"https://github.com/citation-style-language/schema/raw/master/csl-citation.json"}</w:instrText>
      </w:r>
      <w:r w:rsidRPr="00D56E28">
        <w:rPr>
          <w:rFonts w:ascii="Arial Narrow" w:hAnsi="Arial Narrow" w:cs="Courier New"/>
          <w:sz w:val="22"/>
          <w:szCs w:val="22"/>
        </w:rPr>
        <w:fldChar w:fldCharType="separate"/>
      </w:r>
      <w:r w:rsidRPr="00512927">
        <w:rPr>
          <w:rFonts w:ascii="Arial Narrow" w:hAnsi="Arial Narrow" w:cs="Courier New"/>
          <w:noProof/>
          <w:sz w:val="22"/>
          <w:szCs w:val="22"/>
        </w:rPr>
        <w:t>(</w:t>
      </w:r>
      <w:proofErr w:type="spellStart"/>
      <w:r w:rsidRPr="00512927">
        <w:rPr>
          <w:rFonts w:ascii="Arial Narrow" w:hAnsi="Arial Narrow" w:cs="Courier New"/>
          <w:noProof/>
          <w:sz w:val="22"/>
          <w:szCs w:val="22"/>
        </w:rPr>
        <w:t>Pamangin</w:t>
      </w:r>
      <w:proofErr w:type="spellEnd"/>
      <w:r w:rsidRPr="00512927">
        <w:rPr>
          <w:rFonts w:ascii="Arial Narrow" w:hAnsi="Arial Narrow" w:cs="Courier New"/>
          <w:noProof/>
          <w:sz w:val="22"/>
          <w:szCs w:val="22"/>
        </w:rPr>
        <w:t>, 2023)</w:t>
      </w:r>
      <w:r w:rsidRPr="00D56E28">
        <w:rPr>
          <w:rFonts w:ascii="Arial Narrow" w:hAnsi="Arial Narrow" w:cs="Courier New"/>
          <w:sz w:val="22"/>
          <w:szCs w:val="22"/>
        </w:rPr>
        <w:fldChar w:fldCharType="end"/>
      </w:r>
      <w:r w:rsidRPr="00D56E28">
        <w:rPr>
          <w:rFonts w:ascii="Arial Narrow" w:hAnsi="Arial Narrow" w:cs="Courier New"/>
          <w:sz w:val="22"/>
          <w:szCs w:val="22"/>
        </w:rPr>
        <w:t xml:space="preserve"> </w:t>
      </w:r>
      <w:r w:rsidRPr="005C2D67">
        <w:rPr>
          <w:rFonts w:ascii="Arial Narrow" w:hAnsi="Arial Narrow" w:cs="Courier New"/>
          <w:sz w:val="22"/>
          <w:szCs w:val="22"/>
        </w:rPr>
        <w:t xml:space="preserve">Many adolescents have concerns or hold negative perceptions mixed with positive ones, such as the unpleasant taste of the tablets, metallic </w:t>
      </w:r>
      <w:proofErr w:type="spellStart"/>
      <w:r w:rsidRPr="005C2D67">
        <w:rPr>
          <w:rFonts w:ascii="Arial Narrow" w:hAnsi="Arial Narrow" w:cs="Courier New"/>
          <w:sz w:val="22"/>
          <w:szCs w:val="22"/>
        </w:rPr>
        <w:t>odor</w:t>
      </w:r>
      <w:proofErr w:type="spellEnd"/>
      <w:r w:rsidRPr="005C2D67">
        <w:rPr>
          <w:rFonts w:ascii="Arial Narrow" w:hAnsi="Arial Narrow" w:cs="Courier New"/>
          <w:sz w:val="22"/>
          <w:szCs w:val="22"/>
        </w:rPr>
        <w:t>, or worries about side effects (nausea, stomach pain). These barriers may neutralize or even outweigh the perceived benefits.</w:t>
      </w:r>
      <w:r>
        <w:rPr>
          <w:rFonts w:ascii="Arial Narrow" w:hAnsi="Arial Narrow" w:cs="Courier New"/>
          <w:sz w:val="22"/>
          <w:szCs w:val="22"/>
        </w:rPr>
        <w:t xml:space="preserve"> </w:t>
      </w:r>
      <w:r w:rsidRPr="005C2D67">
        <w:rPr>
          <w:rFonts w:ascii="Arial Narrow" w:hAnsi="Arial Narrow" w:cs="Courier New"/>
          <w:sz w:val="22"/>
          <w:szCs w:val="22"/>
          <w:lang w:val="en-US"/>
        </w:rPr>
        <w:t>In addition, perceived benefits alone are not sufficient without self-efficacy to carry out the behavior. Adolescents who are aware of the benefits of iron supplements may still feel unable to consume them consistently due to forgetfulness, lack of motivation, or unfamiliarity.</w:t>
      </w:r>
      <w:r>
        <w:rPr>
          <w:rFonts w:ascii="Arial Narrow" w:hAnsi="Arial Narrow" w:cs="Courier New"/>
          <w:sz w:val="22"/>
          <w:szCs w:val="22"/>
          <w:lang w:val="en-US"/>
        </w:rPr>
        <w:t xml:space="preserve"> A</w:t>
      </w:r>
      <w:r w:rsidRPr="005C2D67">
        <w:rPr>
          <w:rFonts w:ascii="Arial Narrow" w:hAnsi="Arial Narrow" w:cs="Courier New"/>
          <w:sz w:val="22"/>
          <w:szCs w:val="22"/>
          <w:lang w:val="en-US"/>
        </w:rPr>
        <w:t xml:space="preserve">dolescents’ perceptions </w:t>
      </w:r>
      <w:r>
        <w:rPr>
          <w:rFonts w:ascii="Arial Narrow" w:hAnsi="Arial Narrow" w:cs="Courier New"/>
          <w:sz w:val="22"/>
          <w:szCs w:val="22"/>
          <w:lang w:val="en-US"/>
        </w:rPr>
        <w:t>are also</w:t>
      </w:r>
      <w:r w:rsidRPr="005C2D67">
        <w:rPr>
          <w:rFonts w:ascii="Arial Narrow" w:hAnsi="Arial Narrow" w:cs="Courier New"/>
          <w:sz w:val="22"/>
          <w:szCs w:val="22"/>
          <w:lang w:val="en-US"/>
        </w:rPr>
        <w:t xml:space="preserve"> often limited to “iron supplements are beneficial,” but they do not receive complete information about the consequences of anemia or the correct way to consume them. Without comprehensive understanding, such perceptions are not strong enough to drive real action.</w:t>
      </w:r>
    </w:p>
    <w:p w:rsidR="00512927" w:rsidRPr="00D56E28" w:rsidRDefault="00512927" w:rsidP="00512927">
      <w:pPr>
        <w:pStyle w:val="NormalWeb"/>
        <w:tabs>
          <w:tab w:val="left" w:pos="4820"/>
        </w:tabs>
        <w:spacing w:before="0" w:beforeAutospacing="0" w:after="0" w:afterAutospacing="0"/>
        <w:ind w:left="284" w:right="-290"/>
        <w:jc w:val="both"/>
        <w:rPr>
          <w:rFonts w:ascii="Arial Narrow" w:hAnsi="Arial Narrow" w:cs="Courier New"/>
          <w:sz w:val="22"/>
          <w:szCs w:val="22"/>
        </w:rPr>
      </w:pPr>
      <w:r w:rsidRPr="00D56E28">
        <w:rPr>
          <w:rFonts w:ascii="Arial Narrow" w:hAnsi="Arial Narrow" w:cs="Courier New"/>
          <w:sz w:val="22"/>
          <w:szCs w:val="22"/>
        </w:rPr>
        <w:t>This highlights the importance of integrating perception-based interventions with education and practical support to translate awareness into consistent health practices.</w:t>
      </w:r>
    </w:p>
    <w:p w:rsidR="00512927" w:rsidRPr="00D56E28" w:rsidRDefault="00512927" w:rsidP="00512927">
      <w:pPr>
        <w:pStyle w:val="ListParagraph"/>
        <w:numPr>
          <w:ilvl w:val="0"/>
          <w:numId w:val="5"/>
        </w:num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i/>
          <w:iCs/>
          <w:lang w:val="en-ID"/>
        </w:rPr>
      </w:pPr>
      <w:r w:rsidRPr="00D56E28">
        <w:rPr>
          <w:rFonts w:ascii="Arial Narrow" w:eastAsia="Times New Roman" w:hAnsi="Arial Narrow" w:cs="Courier New"/>
          <w:i/>
          <w:iCs/>
          <w:lang w:val="en-ID"/>
        </w:rPr>
        <w:t>The Relationship Between Media Exposure and Adolescents’ Decision to Consume Iron Tablets</w:t>
      </w:r>
    </w:p>
    <w:p w:rsidR="00512927" w:rsidRPr="00D56E28"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D56E28">
        <w:rPr>
          <w:rFonts w:ascii="Arial Narrow" w:eastAsia="Times New Roman" w:hAnsi="Arial Narrow" w:cs="Courier New"/>
          <w:lang w:val="en-ID"/>
        </w:rPr>
        <w:t xml:space="preserve">Our findings show a significant correlation between exposure to information media and adolescents’ decisions to consume iron tablets. Media exposure likely enhances awareness and knowledge by providing repeated and varied sources of information, which subsequently influences health </w:t>
      </w:r>
      <w:proofErr w:type="spellStart"/>
      <w:r w:rsidRPr="00D56E28">
        <w:rPr>
          <w:rFonts w:ascii="Arial Narrow" w:eastAsia="Times New Roman" w:hAnsi="Arial Narrow" w:cs="Courier New"/>
          <w:lang w:val="en-ID"/>
        </w:rPr>
        <w:t>behavior</w:t>
      </w:r>
      <w:proofErr w:type="spellEnd"/>
      <w:r w:rsidRPr="00D56E28">
        <w:rPr>
          <w:rFonts w:ascii="Arial Narrow" w:eastAsia="Times New Roman" w:hAnsi="Arial Narrow" w:cs="Courier New"/>
          <w:lang w:val="en-ID"/>
        </w:rPr>
        <w:t>. The effect may vary depending on the type of media, the credibility of the source, and the context in which the information is received.</w:t>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5C2D67">
        <w:rPr>
          <w:rFonts w:ascii="Arial Narrow" w:eastAsia="Times New Roman" w:hAnsi="Arial Narrow" w:cs="Courier New"/>
          <w:lang w:val="en-ID"/>
        </w:rPr>
        <w:t xml:space="preserve">Adolescents are in a stage of cognitive development where they are highly exposed to various information channels, both formal (schools, health </w:t>
      </w:r>
      <w:proofErr w:type="spellStart"/>
      <w:r w:rsidRPr="005C2D67">
        <w:rPr>
          <w:rFonts w:ascii="Arial Narrow" w:eastAsia="Times New Roman" w:hAnsi="Arial Narrow" w:cs="Courier New"/>
          <w:lang w:val="en-ID"/>
        </w:rPr>
        <w:t>centers</w:t>
      </w:r>
      <w:proofErr w:type="spellEnd"/>
      <w:r w:rsidRPr="005C2D67">
        <w:rPr>
          <w:rFonts w:ascii="Arial Narrow" w:eastAsia="Times New Roman" w:hAnsi="Arial Narrow" w:cs="Courier New"/>
          <w:lang w:val="en-ID"/>
        </w:rPr>
        <w:t xml:space="preserve">) and informal (social media, television, the internet). Information that is delivered repeatedly, in an engaging and easily understandable way, is more likely to influence </w:t>
      </w:r>
      <w:proofErr w:type="spellStart"/>
      <w:r w:rsidRPr="005C2D67">
        <w:rPr>
          <w:rFonts w:ascii="Arial Narrow" w:eastAsia="Times New Roman" w:hAnsi="Arial Narrow" w:cs="Courier New"/>
          <w:lang w:val="en-ID"/>
        </w:rPr>
        <w:t>behavior</w:t>
      </w:r>
      <w:proofErr w:type="spellEnd"/>
      <w:r w:rsidRPr="005C2D67">
        <w:rPr>
          <w:rFonts w:ascii="Arial Narrow" w:eastAsia="Times New Roman" w:hAnsi="Arial Narrow" w:cs="Courier New"/>
          <w:lang w:val="en-ID"/>
        </w:rPr>
        <w:t>. Therefore, consistent media exposure can enhance knowledge, awareness, and positive attitudes toward iron supplement consumption.</w:t>
      </w:r>
      <w:r>
        <w:rPr>
          <w:rFonts w:ascii="Arial Narrow" w:eastAsia="Times New Roman" w:hAnsi="Arial Narrow" w:cs="Courier New"/>
          <w:lang w:val="en-ID"/>
        </w:rPr>
        <w:t xml:space="preserve"> </w:t>
      </w:r>
      <w:r w:rsidRPr="00D56E28">
        <w:rPr>
          <w:rFonts w:ascii="Arial Narrow" w:eastAsia="Times New Roman" w:hAnsi="Arial Narrow" w:cs="Courier New"/>
          <w:lang w:val="en-ID"/>
        </w:rPr>
        <w:t>Previous studies confirm that health communication strategies delivered through mass and digital media are powerful tools to increase awareness, shape perceptions, and encourage compliance with supplementation programs.</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{"citationItems":[{"id":"ITEM-1","itemData":{"abstract":"Anemia, a condition in which hemoglobin levels in the blood are below normal, is a common\nhealth problem especially in women of childbearing age. Adolescent girls who are\nmenstruating and in their growing years are particularly vulnerable to iron deficiency anemia.\nThe Blood Addition Tablet (TTD) program is one of the government's efforts to address this\nproblem, but compliance with TTD consumption is still low. This study aims to evaluate the\neffect of education using TikTok media on adherence to TTD consumption in adolescent girls.\nThis study used a pre-experiment design with a one-group pre-test post-test design on 34\nrespondents who were taken based on inclusion criteria using purposive sa","author":[{"dropping-particle":"","family":"Septi Yanti Nadila","given":"Putri","non-dropping-particle":"","parse-names":false,"suffix":""},{"dropping-particle":"","family":"Rustam","given":"Musfardi","non-dropping-particle":"","parse-names":false,"suffix":""}],"container-title":"Jurnalpedia","id":"ITEM-1","issue":"3","issued":{"date-parts":[["2024"]]},"page":"222-233","title":"Pengaruh Edukasi Media Tiktok Terhadap Kepatuhan Konsumsi Tablet Tambah Darah Pada Remaja Putri","type":"article-journal","volume":"6"},"uris":["http://www.mendeley.com/documents/?uuid=23715dab-b458-4ab9-9ac6-3cb5616a1b9c"]}],"mendeley":{"formattedCitation":"(Septi Yanti Nadila &amp; Rustam, 2024)","plainTextFormattedCitation":"(Septi Yanti Nadila &amp; Rustam, 2024)","previouslyFormattedCitation":"(9)"},"properties":{"noteIndex":0},"schema":"https://github.com/citation-style-language/schema/raw/master/csl-citation.json"}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(Septi Yanti Nadila &amp; Rustam, 2024)</w:t>
      </w:r>
      <w:r>
        <w:rPr>
          <w:rFonts w:ascii="Arial Narrow" w:eastAsia="Times New Roman" w:hAnsi="Arial Narrow" w:cs="Courier New"/>
          <w:lang w:val="en-ID"/>
        </w:rPr>
        <w:fldChar w:fldCharType="end"/>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{"citationItems":[{"id":"ITEM-1","itemData":{"DOI":"10.20473/amnt.v7i3SP.2023.50-61","ISSN":"25809776","abstract":"Background: Anemia poses a significant challenge to the health and productivity of adolescent girls. This has prompted the Indonesian government to initiate a program to distribute iron and folic acid (IFA) supplements. Therefore, it is necessary to address the level of acceptance of or compliance with IFA supplementation among adolescent girls. Objectives: This study aims to assess the acceptance level of the program among adolescent girls in Indonesia. Methods: A PRISMA-guided literature search was conducted in the NCBI, PubMed, Scopus, ScienceDirect, and Garuda databases for experimental or observational research published in Scopus-indexed journals from Q1 to Q4 or in Sinta 1 to Sinta 3 from 2013 to 2023. Discussion: Eight studies conducted in five provinces in Indonesia showed that the coverage of IFA supplement distribution programs was less than 50%, with acceptance levels between 0% and 25.2% according to the Indonesian standard. The majority of IFA supplement distribution programs were not implemented in accordance with the standard. In addition, the supplements were not consistently provided every week, nor were they taken immediately at school. Factors that influence the consumption of IFA supplements among adolescent girls included knowledge, motivation, self-efficacy, attitude, parental influence, peer pressure, school policies and commitments, and the IFA supplements provided. Positive factors encouraged consumption, while negative factors discouraged consumption. Conclusions: The acceptance level of the IFA supplement distribution program remains low. To improve this, it is essential to increase the knowledge of adolescent girls and their parents about anemia, including its definition, causes, side effects, and symptoms, as well as the benefits and risks of not taking IFA supplements. Other necessary measures include improving the distribution system and providing supporting facilities.","author":[{"dropping-particle":"","family":"Helmyati","given":"Siti","non-dropping-particle":"","parse-names":false,"suffix":""},{"dropping-particle":"","family":"Syarifa","given":"Cut Alima","non-dropping-particle":"","parse-names":false,"suffix":""},{"dropping-particle":"","family":"Rizana","given":"Nisa Ayu","non-dropping-particle":"","parse-names":false,"suffix":""},{"dropping-particle":"","family":"Sitorus","given":"Nova Lidia","non-dropping-particle":"","parse-names":false,"suffix":""},{"dropping-particle":"","family":"Pratiwi","given":"Dessy","non-dropping-particle":"","parse-names":false,"suffix":""}],"container-title":"Amerta Nutrition","id":"ITEM-1","issue":"3SP","issued":{"date-parts":[["2023"]]},"page":"50-61","title":"Acceptance of Iron Supplementation Program among Adolescent Girls in Indonesia: A Literature Review","type":"article-journal","volume":"7"},"uris":["http://www.mendeley.com/documents/?uuid=e3c8b512-5b65-4b91-a1e3-195897829903"]}],"mendeley":{"formattedCitation":"(Helmyati et al., 2023)","plainTextFormattedCitation":"(Helmyati et al., 2023)","previouslyFormattedCitation":"(6)"},"properties":{"noteIndex":0},"schema":"https://github.com/citation-style-language/schema/raw/master/csl-citation.json"}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(Helmyati et al., 2023)</w:t>
      </w:r>
      <w:r>
        <w:rPr>
          <w:rFonts w:ascii="Arial Narrow" w:eastAsia="Times New Roman" w:hAnsi="Arial Narrow" w:cs="Courier New"/>
          <w:lang w:val="en-ID"/>
        </w:rPr>
        <w:fldChar w:fldCharType="end"/>
      </w:r>
      <w:r w:rsidRPr="00D56E28">
        <w:rPr>
          <w:rFonts w:ascii="Arial Narrow" w:eastAsia="Times New Roman" w:hAnsi="Arial Narrow" w:cs="Courier New"/>
          <w:lang w:val="en-ID"/>
        </w:rPr>
        <w:t xml:space="preserve"> In the case of iron supplementation, digital media in particular allows for broad and targeted dissemination of health messages, enabling adolescents to access information anytime and anywhere.</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{"citationItems":[{"id":"ITEM-1","itemData":{"DOI":"10.22146/ijcn.37031","ISSN":"1693-900X","abstract":"Acceptance of adolescent girls on iron tablets in Yogyakarta, IndonesiaBackground: Supplementation of iron tablets is one of the efforts to combat anemia in adolescent girls taken by the government. However, compliance with iron tablet consumption still tends to be low. Objective: This study aims to determine the acceptance of adolescent girls to iron tablets in Yogyakarta. Methods: This study is a sequential explanatory mixed method. The investigation was conducted from January to April 2018. The subjects of the study were girls in junior high and high school of Yogyakarta, as many as 211 people with criteria 12-18 years; FGD/in-depth interview respondents were 32 students, four teachers/UKS officer, two Puskesmas officers, and one health program holder. Results: Of 204 subjects who received iron tablets, only 133 subjects (65.20%) consumed iron tablets, and 71 subjects (34.80%) did not. The organoleptic perception of subjects consisting of flavor, aroma, and color indicates they like iron tablets, but some also do not want them because they smell fishy. Side effects of iron tablets, such as nausea, heartburn, constipation, and dizziness, are the reasons the subject does not consume or spend the iron tablets given. In addition to the encouragement or support of parents, teachers or officers of UKS, and health workers, it is a factor that affects the acceptance of subjects against iron tablets. Conclusion: Factors influencing the acceptance of adolescent girls to iron tablets are a factor in self and factors from outside (parents, teachers, and health workers). Therefore, increasing the consumption of iron tablets requires young women's self-awareness, motivation, and support from various parties to obtain information related to the iron tablet, such as socialization","author":[{"dropping-particle":"","family":"Masfufah","given":"Masfufah","non-dropping-particle":"","parse-names":false,"suffix":""},{"dropping-particle":"","family":"Kandarina","given":"Istiti","non-dropping-particle":"","parse-names":false,"suffix":""},{"dropping-particle":"","family":"Padmawati","given":"Retna Siwi","non-dropping-particle":"","parse-names":false,"suffix":""}],"container-title":"Jurnal Gizi Klinik Indonesia","id":"ITEM-1","issue":"3","issued":{"date-parts":[["2022"]]},"page":"145","title":"Penerimaan remaja putri terhadap tablet tambah darah di Kota Yogyakarta","type":"article-journal","volume":"18"},"uris":["http://www.mendeley.com/documents/?uuid=a83a1c3a-4e23-4831-897f-b471823e9788"]}],"mendeley":{"formattedCitation":"(Masfufah et al., 2022)","plainTextFormattedCitation":"(Masfufah et al., 2022)","previouslyFormattedCitation":"(10)"},"properties":{"noteIndex":0},"schema":"https://github.com/citation-style-language/schema/raw/master/csl-citation.json"}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(Masfufah et al., 2022)</w:t>
      </w:r>
      <w:r>
        <w:rPr>
          <w:rFonts w:ascii="Arial Narrow" w:eastAsia="Times New Roman" w:hAnsi="Arial Narrow" w:cs="Courier New"/>
          <w:lang w:val="en-ID"/>
        </w:rPr>
        <w:fldChar w:fldCharType="end"/>
      </w:r>
      <w:r w:rsidRPr="00D56E28">
        <w:rPr>
          <w:rFonts w:ascii="Arial Narrow" w:eastAsia="Times New Roman" w:hAnsi="Arial Narrow" w:cs="Courier New"/>
          <w:lang w:val="en-ID"/>
        </w:rPr>
        <w:t xml:space="preserve"> </w:t>
      </w:r>
      <w:r w:rsidRPr="005C2D67">
        <w:rPr>
          <w:rFonts w:ascii="Arial Narrow" w:eastAsia="Times New Roman" w:hAnsi="Arial Narrow" w:cs="Courier New"/>
        </w:rPr>
        <w:t>According to Health Communication Theory and Social Cognitive Theory, health behavior is influenced not only by individual perceptions but also by external information exposure that can shift social norms and enhance self-efficacy. Media serves as an effective channel to deliver health messages that normalize positive behaviors, including the routine consumption of iron supplements.</w:t>
      </w:r>
      <w:r>
        <w:rPr>
          <w:rFonts w:ascii="Arial Narrow" w:eastAsia="Times New Roman" w:hAnsi="Arial Narrow" w:cs="Courier New"/>
        </w:rPr>
        <w:t xml:space="preserve"> </w:t>
      </w:r>
      <w:r w:rsidRPr="00D56E28">
        <w:rPr>
          <w:rFonts w:ascii="Arial Narrow" w:eastAsia="Times New Roman" w:hAnsi="Arial Narrow" w:cs="Courier New"/>
          <w:lang w:val="en-ID"/>
        </w:rPr>
        <w:t>Effective content—especially when it is evidence-based, engaging, and supported by trusted sources such as healthcare professionals—has been shown to significantly improve compliance.</w:t>
      </w:r>
    </w:p>
    <w:p w:rsidR="00512927" w:rsidRP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512927">
        <w:rPr>
          <w:rFonts w:ascii="Arial Narrow" w:eastAsia="Times New Roman" w:hAnsi="Arial Narrow" w:cs="Courier New"/>
          <w:lang w:val="en-ID"/>
        </w:rPr>
        <w:t>Media content based on scientific evidence, delivered by credible sources (such as healthcare professionals, teachers, or government institutions), can build trust and strengthen the intention to take action. Research shows that media-based interventions, especially digital media such as WhatsApp, Instagram, or TikTok, can improve adolescents’ adherence to iron tablet consumption due to their interactive, engaging, and accessible nature.</w:t>
      </w:r>
    </w:p>
    <w:p w:rsidR="00512927" w:rsidRPr="00D56E28"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D56E28">
        <w:rPr>
          <w:rFonts w:ascii="Arial Narrow" w:eastAsia="Times New Roman" w:hAnsi="Arial Narrow" w:cs="Courier New"/>
          <w:lang w:val="en-ID"/>
        </w:rPr>
        <w:t xml:space="preserve">These findings suggest that enhancing adolescents’ exposure to credible health information, both through traditional platforms such as schools and healthcare providers and through digital platforms such as social media, could play a strategic role in reducing </w:t>
      </w:r>
      <w:proofErr w:type="spellStart"/>
      <w:r w:rsidRPr="00D56E28">
        <w:rPr>
          <w:rFonts w:ascii="Arial Narrow" w:eastAsia="Times New Roman" w:hAnsi="Arial Narrow" w:cs="Courier New"/>
          <w:lang w:val="en-ID"/>
        </w:rPr>
        <w:t>anemia</w:t>
      </w:r>
      <w:proofErr w:type="spellEnd"/>
      <w:r w:rsidRPr="00D56E28">
        <w:rPr>
          <w:rFonts w:ascii="Arial Narrow" w:eastAsia="Times New Roman" w:hAnsi="Arial Narrow" w:cs="Courier New"/>
          <w:lang w:val="en-ID"/>
        </w:rPr>
        <w:t xml:space="preserve"> </w:t>
      </w:r>
      <w:r w:rsidRPr="00D56E28">
        <w:rPr>
          <w:rFonts w:ascii="Arial Narrow" w:eastAsia="Times New Roman" w:hAnsi="Arial Narrow" w:cs="Courier New"/>
          <w:lang w:val="en-ID"/>
        </w:rPr>
        <w:lastRenderedPageBreak/>
        <w:t xml:space="preserve">prevalence. Future interventions should therefore prioritize multimedia approaches tailored to adolescents’ preferences and information-seeking </w:t>
      </w:r>
      <w:proofErr w:type="spellStart"/>
      <w:r w:rsidRPr="00D56E28">
        <w:rPr>
          <w:rFonts w:ascii="Arial Narrow" w:eastAsia="Times New Roman" w:hAnsi="Arial Narrow" w:cs="Courier New"/>
          <w:lang w:val="en-ID"/>
        </w:rPr>
        <w:t>behaviors</w:t>
      </w:r>
      <w:proofErr w:type="spellEnd"/>
      <w:r w:rsidRPr="00D56E28">
        <w:rPr>
          <w:rFonts w:ascii="Arial Narrow" w:eastAsia="Times New Roman" w:hAnsi="Arial Narrow" w:cs="Courier New"/>
          <w:lang w:val="en-ID"/>
        </w:rPr>
        <w:t>.</w:t>
      </w:r>
    </w:p>
    <w:p w:rsidR="00512927" w:rsidRPr="00D56E28" w:rsidRDefault="00512927" w:rsidP="00512927">
      <w:pPr>
        <w:pStyle w:val="ListParagraph"/>
        <w:numPr>
          <w:ilvl w:val="0"/>
          <w:numId w:val="5"/>
        </w:num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i/>
          <w:iCs/>
          <w:lang w:val="en-ID"/>
        </w:rPr>
      </w:pPr>
      <w:r w:rsidRPr="00D56E28">
        <w:rPr>
          <w:rFonts w:ascii="Arial Narrow" w:eastAsia="Times New Roman" w:hAnsi="Arial Narrow" w:cs="Courier New"/>
          <w:i/>
          <w:iCs/>
          <w:lang w:val="en-ID"/>
        </w:rPr>
        <w:t>The Relationship Between Peer Influence and Adolescents’ Decision to Consume Iron Tablets</w:t>
      </w:r>
    </w:p>
    <w:p w:rsidR="00512927" w:rsidRPr="00D56E28"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D56E28">
        <w:rPr>
          <w:rFonts w:ascii="Arial Narrow" w:eastAsia="Times New Roman" w:hAnsi="Arial Narrow" w:cs="Courier New"/>
          <w:lang w:val="en-ID"/>
        </w:rPr>
        <w:t xml:space="preserve">The study also demonstrated a strong and significant relationship between peer influence and adolescents’ decisions to consume iron tablets. Peer groups are central to adolescent life, as young people spend considerable time interacting with their peers and often prioritize peer norms over parental influence. The need for social acceptance and group identity during adolescence makes peer influence a critical determinant of </w:t>
      </w:r>
      <w:proofErr w:type="spellStart"/>
      <w:r w:rsidRPr="00D56E28">
        <w:rPr>
          <w:rFonts w:ascii="Arial Narrow" w:eastAsia="Times New Roman" w:hAnsi="Arial Narrow" w:cs="Courier New"/>
          <w:lang w:val="en-ID"/>
        </w:rPr>
        <w:t>behavior</w:t>
      </w:r>
      <w:proofErr w:type="spellEnd"/>
      <w:r w:rsidRPr="00D56E28">
        <w:rPr>
          <w:rFonts w:ascii="Arial Narrow" w:eastAsia="Times New Roman" w:hAnsi="Arial Narrow" w:cs="Courier New"/>
          <w:lang w:val="en-ID"/>
        </w:rPr>
        <w:t>.</w:t>
      </w:r>
    </w:p>
    <w:p w:rsidR="00512927" w:rsidRPr="00D56E28"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D56E28">
        <w:rPr>
          <w:rFonts w:ascii="Arial Narrow" w:eastAsia="Times New Roman" w:hAnsi="Arial Narrow" w:cs="Courier New"/>
          <w:lang w:val="en-ID"/>
        </w:rPr>
        <w:t>This finding is consistent with previous research in Surakarta, which reported a positive association between peer influence and the practice of iron tablet consumption among adolescent girls.</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{"citationItems":[{"id":"ITEM-1","itemData":{"DOI":"10.14710/jkm.v9i3.29231","ISSN":"2715-5617","abstract":"Adolescents girls’ tend to be riskier of developing anemia than boys because they experience menstruation every month. Based on survey, 4 of 5 students who received blood supplement tablets at school stated that they don’t want to consume it. This research aimed to analyze any factors related to the practice of consuming adolescents girls’ blood supplement tablet in the work area of the Gilingan Health Care Center Surakarta. The method of this research was analytic quantitative with cross sectional design. The population were 542 adolescents girls’ and a sample of 225 adolescents girls’ were selected using simple random sampling. This research used univariate and bivariate analysis (Chi Square). The results of univariate analysis of characteristics respondents were the majority of the respondents were 17 years old (48,0%), education of the respondent’s father is university (56,0%) and also education of the respondent’s mother is university (44,9%), the occupation of respondent’s father is self-employed (30,7%), the occupation of respondent’s mother is housewife (46,2%), with the majority of parents income of Rp. 5.000.000,00 (12,0%). The result of Chi Square test showed that there is a relation between father’s education (p=0,032), parent’s income (p=0,002), attitude (p=0,000), family support (p=0,000), peer support (p=0,000), support from UKS tutor teachers (p=0,001), health workers support (p=0,003), and access to information (p=0,004) with practice of consuming adolescents girls’ blood supplement tablet. Meanwhile, the respondent’s age (p=0,396), father’s occupation (p=1,000), mother’s occupation (p=0,272), mother’s education (p=0,128), knowledge (p=0,850), school support (p=0,210), availability blood supplement tablets in school (p=0,164), and the availability of control cards (p=0,066) had no relation with practice of consuming adolescents girls’ blood supplement tablet.","author":[{"dropping-particle":"","family":"Rahayuningtyas","given":"Devika","non-dropping-particle":"","parse-names":false,"suffix":""},{"dropping-particle":"","family":"Indraswari","given":"Ratih","non-dropping-particle":"","parse-names":false,"suffix":""},{"dropping-particle":"","family":"Musthofa","given":"Syamsulhuda Budi","non-dropping-particle":"","parse-names":false,"suffix":""}],"container-title":"Jurnal Kesehatan Masyarakat (Undip)","id":"ITEM-1","issue":"3","issued":{"date-parts":[["2021"]]},"page":"310-318","title":"Faktor-Faktor Yang Berhubungan Dengan Praktik Konsumsi Tablet Tambah Darah (Ttd) Remaja Putri Di Wilayah Kerja Puskesmas Gilingan Kota Surakarta","type":"article-journal","volume":"9"},"uris":["http://www.mendeley.com/documents/?uuid=79bebbed-c095-4271-9c37-2dbbad48459a"]}],"mendeley":{"formattedCitation":"(Rahayuningtyas et al., 2021)","plainTextFormattedCitation":"(Rahayuningtyas et al., 2021)","previouslyFormattedCitation":"(1)"},"properties":{"noteIndex":0},"schema":"https://github.com/citation-style-language/schema/raw/master/csl-citation.json"}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(Rahayuningtyas et al., 2021)</w:t>
      </w:r>
      <w:r>
        <w:rPr>
          <w:rFonts w:ascii="Arial Narrow" w:eastAsia="Times New Roman" w:hAnsi="Arial Narrow" w:cs="Courier New"/>
          <w:lang w:val="en-ID"/>
        </w:rPr>
        <w:fldChar w:fldCharType="end"/>
      </w:r>
      <w:r w:rsidRPr="00D56E28">
        <w:rPr>
          <w:rFonts w:ascii="Arial Narrow" w:eastAsia="Times New Roman" w:hAnsi="Arial Narrow" w:cs="Courier New"/>
          <w:lang w:val="en-ID"/>
        </w:rPr>
        <w:t xml:space="preserve"> It also aligns with Green’s model, which emphasizes peer support as a reinforcing factor in health </w:t>
      </w:r>
      <w:proofErr w:type="spellStart"/>
      <w:r w:rsidRPr="00D56E28">
        <w:rPr>
          <w:rFonts w:ascii="Arial Narrow" w:eastAsia="Times New Roman" w:hAnsi="Arial Narrow" w:cs="Courier New"/>
          <w:lang w:val="en-ID"/>
        </w:rPr>
        <w:t>behavior</w:t>
      </w:r>
      <w:proofErr w:type="spellEnd"/>
      <w:r w:rsidRPr="00D56E28">
        <w:rPr>
          <w:rFonts w:ascii="Arial Narrow" w:eastAsia="Times New Roman" w:hAnsi="Arial Narrow" w:cs="Courier New"/>
          <w:lang w:val="en-ID"/>
        </w:rPr>
        <w:t xml:space="preserve"> adoption. Furthermore, other studies have shown that peer encouragement can significantly increase adolescents’ interest and compliance with iron tablet programs.</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{"citationItems":[{"id":"ITEM-1","itemData":{"DOI":"10.62085/ajk.v1i1.33","ISSN":"3031-0407","abstract":"The low interest of young women in consuming Fe tablets is one of the causes of nutritional anemia. This is because young women experience menstruation so they lose iron (Fe) and need more intake of iron (Fe). Peer support is included in the factors that can strengthen a person to behave. The correlation with peers are individual correlation that involve relatively large familiarity in the group. The purpose of this study was to analyze the correlation between peer support and the interest of young women to drink Fe tablets at SMPN 2 Sukapura. This study used a correlational analysis design with a cross-sectional approach. The sample data is a portion of the target youth at SMPN 2 Sukapura, a total of 60 young girls who meet the inclusion criteria using the cluster sampling technique. Data collection included coding, editing, and tabulating. Then the data were analyzed by computer with the Spearman test p-value: 0.05. The results showed that 53 respondents had supportive peers, 52 respondents had an interest in drinking Fe tablets and p-value: 0.000. There is a correlation between peer support and the interest of young women to drink Fe tablets (p = 0.000 &lt;0.05). The suggestion put forward is that the youth health program holders at the Sukapura Health Center can advocate for schools to be able to provide policies/regulations for implementing nutritious actions in schools, by taking Fe tablets together once a week.","author":[{"dropping-particle":"","family":"Yenny Nilawati","given":"Yenny Nilawati","non-dropping-particle":"","parse-names":false,"suffix":""}],"container-title":"ASSYIFA : Jurnal Ilmu Kesehatan","id":"ITEM-1","issue":"1","issued":{"date-parts":[["2024"]]},"page":"191-200","title":"Hubungan Dukungan Teman Sebaya Dengan Minat Remaja Putri Minum Tablet Fe Di Smpn 2 Sukapura","type":"article-journal","volume":"1"},"uris":["http://www.mendeley.com/documents/?uuid=1e6b0a4d-ff2f-419d-8af9-88117d5b303b"]}],"mendeley":{"formattedCitation":"(Yenny Nilawati, 2024)","plainTextFormattedCitation":"(Yenny Nilawati, 2024)","previouslyFormattedCitation":"(11)"},"properties":{"noteIndex":0},"schema":"https://github.com/citation-style-language/schema/raw/master/csl-citation.json"}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(Yenny Nilawati, 2024)</w:t>
      </w:r>
      <w:r>
        <w:rPr>
          <w:rFonts w:ascii="Arial Narrow" w:eastAsia="Times New Roman" w:hAnsi="Arial Narrow" w:cs="Courier New"/>
          <w:lang w:val="en-ID"/>
        </w:rPr>
        <w:fldChar w:fldCharType="end"/>
      </w:r>
      <w:r w:rsidRPr="00D56E28">
        <w:rPr>
          <w:rFonts w:ascii="Arial Narrow" w:eastAsia="Times New Roman" w:hAnsi="Arial Narrow" w:cs="Courier New"/>
          <w:lang w:val="en-ID"/>
        </w:rPr>
        <w:t xml:space="preserve"> Adolescents often imitate the </w:t>
      </w:r>
      <w:proofErr w:type="spellStart"/>
      <w:r w:rsidRPr="00D56E28">
        <w:rPr>
          <w:rFonts w:ascii="Arial Narrow" w:eastAsia="Times New Roman" w:hAnsi="Arial Narrow" w:cs="Courier New"/>
          <w:lang w:val="en-ID"/>
        </w:rPr>
        <w:t>behaviors</w:t>
      </w:r>
      <w:proofErr w:type="spellEnd"/>
      <w:r w:rsidRPr="00D56E28">
        <w:rPr>
          <w:rFonts w:ascii="Arial Narrow" w:eastAsia="Times New Roman" w:hAnsi="Arial Narrow" w:cs="Courier New"/>
          <w:lang w:val="en-ID"/>
        </w:rPr>
        <w:t xml:space="preserve"> of their peers to gain acceptance, which can either reinforce or undermine health-promoting practices.</w:t>
      </w:r>
      <w:r>
        <w:rPr>
          <w:rFonts w:ascii="Arial Narrow" w:eastAsia="Times New Roman" w:hAnsi="Arial Narrow" w:cs="Courier New"/>
          <w:lang w:val="en-ID"/>
        </w:rPr>
        <w:fldChar w:fldCharType="begin" w:fldLock="1"/>
      </w:r>
      <w:r>
        <w:rPr>
          <w:rFonts w:ascii="Arial Narrow" w:eastAsia="Times New Roman" w:hAnsi="Arial Narrow" w:cs="Courier New"/>
          <w:lang w:val="en-ID"/>
        </w:rPr>
        <w:instrText>ADDIN CSL_CITATION {"citationItems":[{"id":"ITEM-1","itemData":{"ISSN":"2715-0496","author":[{"dropping-particle":"","family":"Hmidiyanti Yuni Fitri","given":"","non-dropping-particle":"","parse-names":false,"suffix":""},{"dropping-particle":"","family":"Pratiwi Intan Gumilang","given":"","non-dropping-particle":"","parse-names":false,"suffix":""}],"container-title":"Jurnal Pengabdian Masyarakat Sasambo","id":"ITEM-1","issue":"November","issued":{"date-parts":[["2021"]]},"title":"Peran Teman Sebaya Dalam Meningkatkan Pengetahuan Kesehatan Reproduksi Pernikahan Usia Dini Pada Remaja","type":"article-journal","volume":"3"},"uris":["http://www.mendeley.com/documents/?uuid=8ca6c5f9-65ee-4aa1-9e9a-876ea82526c4"]}],"mendeley":{"formattedCitation":"(Hmidiyanti Yuni Fitri &amp; Pratiwi Intan Gumilang, 2021)","plainTextFormattedCitation":"(Hmidiyanti Yuni Fitri &amp; Pratiwi Intan Gumilang, 2021)","previouslyFormattedCitation":"(12)"},"properties":{"noteIndex":0},"schema":"https://github.com/citation-style-language/schema/raw/master/csl-citation.json"}</w:instrText>
      </w:r>
      <w:r>
        <w:rPr>
          <w:rFonts w:ascii="Arial Narrow" w:eastAsia="Times New Roman" w:hAnsi="Arial Narrow" w:cs="Courier New"/>
          <w:lang w:val="en-ID"/>
        </w:rPr>
        <w:fldChar w:fldCharType="separate"/>
      </w:r>
      <w:r w:rsidRPr="00512927">
        <w:rPr>
          <w:rFonts w:ascii="Arial Narrow" w:eastAsia="Times New Roman" w:hAnsi="Arial Narrow" w:cs="Courier New"/>
          <w:noProof/>
          <w:lang w:val="en-ID"/>
        </w:rPr>
        <w:t>(Hmidiyanti Yuni Fitri &amp; Pratiwi Intan Gumilang, 2021)</w:t>
      </w:r>
      <w:r>
        <w:rPr>
          <w:rFonts w:ascii="Arial Narrow" w:eastAsia="Times New Roman" w:hAnsi="Arial Narrow" w:cs="Courier New"/>
          <w:lang w:val="en-ID"/>
        </w:rPr>
        <w:fldChar w:fldCharType="end"/>
      </w:r>
    </w:p>
    <w:p w:rsidR="00512927"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r w:rsidRPr="00D56E28">
        <w:rPr>
          <w:rFonts w:ascii="Arial Narrow" w:eastAsia="Times New Roman" w:hAnsi="Arial Narrow" w:cs="Courier New"/>
          <w:lang w:val="en-ID"/>
        </w:rPr>
        <w:t xml:space="preserve">The evidence underscores the importance of peer-driven strategies in health promotion. School-based peer education programs, peer </w:t>
      </w:r>
      <w:proofErr w:type="spellStart"/>
      <w:r w:rsidRPr="00D56E28">
        <w:rPr>
          <w:rFonts w:ascii="Arial Narrow" w:eastAsia="Times New Roman" w:hAnsi="Arial Narrow" w:cs="Courier New"/>
          <w:lang w:val="en-ID"/>
        </w:rPr>
        <w:t>counseling</w:t>
      </w:r>
      <w:proofErr w:type="spellEnd"/>
      <w:r w:rsidRPr="00D56E28">
        <w:rPr>
          <w:rFonts w:ascii="Arial Narrow" w:eastAsia="Times New Roman" w:hAnsi="Arial Narrow" w:cs="Courier New"/>
          <w:lang w:val="en-ID"/>
        </w:rPr>
        <w:t xml:space="preserve">, and adolescent health ambassadors may serve as effective channels to strengthen iron supplementation </w:t>
      </w:r>
      <w:proofErr w:type="spellStart"/>
      <w:r w:rsidRPr="00D56E28">
        <w:rPr>
          <w:rFonts w:ascii="Arial Narrow" w:eastAsia="Times New Roman" w:hAnsi="Arial Narrow" w:cs="Courier New"/>
          <w:lang w:val="en-ID"/>
        </w:rPr>
        <w:t>behaviors</w:t>
      </w:r>
      <w:proofErr w:type="spellEnd"/>
      <w:r w:rsidRPr="00D56E28">
        <w:rPr>
          <w:rFonts w:ascii="Arial Narrow" w:eastAsia="Times New Roman" w:hAnsi="Arial Narrow" w:cs="Courier New"/>
          <w:lang w:val="en-ID"/>
        </w:rPr>
        <w:t>. By leveraging peer influence in a positive direction, public health programs can create supportive environments that normalize and encourage consistent iron tablet consumption among adolescents.</w:t>
      </w:r>
    </w:p>
    <w:p w:rsidR="00512927" w:rsidRPr="00DB382A" w:rsidRDefault="00512927" w:rsidP="00512927">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90"/>
        <w:jc w:val="both"/>
        <w:rPr>
          <w:rFonts w:ascii="Arial Narrow" w:eastAsia="Times New Roman" w:hAnsi="Arial Narrow" w:cs="Courier New"/>
          <w:lang w:val="en-ID"/>
        </w:rPr>
      </w:pPr>
    </w:p>
    <w:p w:rsidR="00512927" w:rsidRPr="00DB382A" w:rsidRDefault="00512927" w:rsidP="00512927">
      <w:pPr>
        <w:pStyle w:val="HTMLPreformatted"/>
        <w:tabs>
          <w:tab w:val="clear" w:pos="4580"/>
          <w:tab w:val="left" w:pos="4820"/>
        </w:tabs>
        <w:ind w:left="284" w:right="-290"/>
        <w:jc w:val="both"/>
        <w:rPr>
          <w:rStyle w:val="y2iqfc"/>
          <w:rFonts w:ascii="Arial Narrow" w:eastAsiaTheme="majorEastAsia" w:hAnsi="Arial Narrow"/>
          <w:b/>
          <w:color w:val="000000" w:themeColor="text1"/>
          <w:sz w:val="22"/>
          <w:szCs w:val="22"/>
          <w:lang w:val="en"/>
        </w:rPr>
      </w:pPr>
      <w:r w:rsidRPr="00DB382A">
        <w:rPr>
          <w:rStyle w:val="y2iqfc"/>
          <w:rFonts w:ascii="Arial Narrow" w:eastAsiaTheme="majorEastAsia" w:hAnsi="Arial Narrow"/>
          <w:b/>
          <w:color w:val="000000" w:themeColor="text1"/>
          <w:sz w:val="22"/>
          <w:szCs w:val="22"/>
          <w:lang w:val="en"/>
        </w:rPr>
        <w:t>CONCLUSION</w:t>
      </w:r>
    </w:p>
    <w:p w:rsidR="00512927" w:rsidRPr="00DB382A" w:rsidRDefault="00512927" w:rsidP="00512927">
      <w:pPr>
        <w:pStyle w:val="HTMLPreformatted"/>
        <w:tabs>
          <w:tab w:val="clear" w:pos="4580"/>
          <w:tab w:val="left" w:pos="4820"/>
        </w:tabs>
        <w:ind w:left="284" w:right="-290"/>
        <w:jc w:val="both"/>
        <w:rPr>
          <w:rFonts w:ascii="Arial Narrow" w:eastAsiaTheme="majorEastAsia" w:hAnsi="Arial Narrow"/>
          <w:color w:val="000000" w:themeColor="text1"/>
          <w:sz w:val="22"/>
          <w:szCs w:val="22"/>
        </w:rPr>
      </w:pPr>
      <w:r w:rsidRPr="00DB382A">
        <w:rPr>
          <w:rFonts w:ascii="Arial Narrow" w:eastAsiaTheme="majorEastAsia" w:hAnsi="Arial Narrow"/>
          <w:color w:val="000000" w:themeColor="text1"/>
          <w:sz w:val="22"/>
          <w:szCs w:val="22"/>
        </w:rPr>
        <w:t xml:space="preserve">Based on the results of this study on the relationship between perception, information media, and peer influence with adolescents’ decisions to consume iron tablets at SMP Muhammadiyah 2 </w:t>
      </w:r>
      <w:proofErr w:type="spellStart"/>
      <w:r w:rsidRPr="00DB382A">
        <w:rPr>
          <w:rFonts w:ascii="Arial Narrow" w:eastAsiaTheme="majorEastAsia" w:hAnsi="Arial Narrow"/>
          <w:color w:val="000000" w:themeColor="text1"/>
          <w:sz w:val="22"/>
          <w:szCs w:val="22"/>
        </w:rPr>
        <w:t>Singaraja</w:t>
      </w:r>
      <w:proofErr w:type="spellEnd"/>
      <w:r w:rsidRPr="00DB382A">
        <w:rPr>
          <w:rFonts w:ascii="Arial Narrow" w:eastAsiaTheme="majorEastAsia" w:hAnsi="Arial Narrow"/>
          <w:color w:val="000000" w:themeColor="text1"/>
          <w:sz w:val="22"/>
          <w:szCs w:val="22"/>
        </w:rPr>
        <w:t xml:space="preserve">, it can be concluded that perception did not show a significant relationship with adolescents’ decision-making, indicating that individual perceptions alone are not strongly correlated with iron tablet consumption. In contrast, information media demonstrated a significant relationship with decision-making, suggesting that exposure to credible and accessible health information plays a vital role in influencing adolescents’ choices. Similarly, peer influence also showed a significant relationship with adolescents’ decisions, highlighting the important role of peers in shaping health behaviors and reinforcing social norms. Taken together, these findings suggest that while perception may not be a </w:t>
      </w:r>
      <w:r w:rsidRPr="00DB382A">
        <w:rPr>
          <w:rFonts w:ascii="Arial Narrow" w:eastAsiaTheme="majorEastAsia" w:hAnsi="Arial Narrow"/>
          <w:color w:val="000000" w:themeColor="text1"/>
          <w:sz w:val="22"/>
          <w:szCs w:val="22"/>
        </w:rPr>
        <w:t>strong predictor of behavior, both information media and peer influence serve as key external factors that substantially affect adolescents’ decisions to consume iron tablets.</w:t>
      </w:r>
    </w:p>
    <w:p w:rsidR="00512927" w:rsidRPr="00DB382A" w:rsidRDefault="00512927" w:rsidP="00512927">
      <w:pPr>
        <w:pStyle w:val="HTMLPreformatted"/>
        <w:tabs>
          <w:tab w:val="clear" w:pos="4580"/>
          <w:tab w:val="left" w:pos="4820"/>
        </w:tabs>
        <w:ind w:left="284" w:right="-290"/>
        <w:jc w:val="both"/>
        <w:rPr>
          <w:rStyle w:val="y2iqfc"/>
          <w:rFonts w:ascii="Arial Narrow" w:eastAsiaTheme="majorEastAsia" w:hAnsi="Arial Narrow"/>
          <w:color w:val="000000" w:themeColor="text1"/>
          <w:sz w:val="22"/>
          <w:szCs w:val="22"/>
          <w:lang w:val="en"/>
        </w:rPr>
      </w:pPr>
    </w:p>
    <w:p w:rsidR="00512927" w:rsidRPr="00DB382A" w:rsidRDefault="00512927" w:rsidP="00512927">
      <w:pPr>
        <w:pStyle w:val="HTMLPreformatted"/>
        <w:tabs>
          <w:tab w:val="clear" w:pos="4580"/>
          <w:tab w:val="left" w:pos="4820"/>
        </w:tabs>
        <w:ind w:left="284" w:right="-290"/>
        <w:rPr>
          <w:rStyle w:val="y2iqfc"/>
          <w:rFonts w:ascii="Arial Narrow" w:eastAsiaTheme="majorEastAsia" w:hAnsi="Arial Narrow"/>
          <w:b/>
          <w:color w:val="000000" w:themeColor="text1"/>
          <w:sz w:val="22"/>
          <w:szCs w:val="22"/>
          <w:lang w:val="en"/>
        </w:rPr>
      </w:pPr>
      <w:r w:rsidRPr="00DB382A">
        <w:rPr>
          <w:rStyle w:val="y2iqfc"/>
          <w:rFonts w:ascii="Arial Narrow" w:eastAsiaTheme="majorEastAsia" w:hAnsi="Arial Narrow"/>
          <w:b/>
          <w:color w:val="000000" w:themeColor="text1"/>
          <w:sz w:val="22"/>
          <w:szCs w:val="22"/>
          <w:lang w:val="en"/>
        </w:rPr>
        <w:t>SUGGESTION</w:t>
      </w:r>
    </w:p>
    <w:p w:rsidR="00512927" w:rsidRPr="00DB382A" w:rsidRDefault="00512927" w:rsidP="00512927">
      <w:pPr>
        <w:pStyle w:val="HTMLPreformatted"/>
        <w:tabs>
          <w:tab w:val="clear" w:pos="4580"/>
          <w:tab w:val="left" w:pos="4820"/>
        </w:tabs>
        <w:ind w:left="284" w:right="-290"/>
        <w:jc w:val="both"/>
        <w:rPr>
          <w:rStyle w:val="y2iqfc"/>
          <w:rFonts w:ascii="Arial Narrow" w:eastAsiaTheme="majorEastAsia" w:hAnsi="Arial Narrow"/>
          <w:color w:val="000000" w:themeColor="text1"/>
          <w:sz w:val="22"/>
          <w:szCs w:val="22"/>
          <w:lang w:val="en"/>
        </w:rPr>
      </w:pPr>
      <w:r w:rsidRPr="00DB382A">
        <w:rPr>
          <w:rFonts w:ascii="Arial Narrow" w:eastAsiaTheme="majorEastAsia" w:hAnsi="Arial Narrow"/>
          <w:color w:val="000000" w:themeColor="text1"/>
          <w:sz w:val="22"/>
          <w:szCs w:val="22"/>
        </w:rPr>
        <w:t>This study concluded that while adolescents’ perceptions were not significantly associated with their decisions to consume iron tablets, both exposure to information media and peer influence showed strong and significant relationships with consumption behavior. However, decision-making regarding iron tablet consumption is multifactorial, and future research should broaden its scope to include other potential determinants such as access to healthcare services, cultural norms, and socioeconomic status. Examining these additional variables would provide a more holistic understanding of the barriers and facilitators influencing adolescent compliance, thereby informing more targeted and sustainable public health interventions to reduce anemia prevalence and prepare a healthier, more productive generation.</w:t>
      </w:r>
    </w:p>
    <w:p w:rsidR="00512927" w:rsidRDefault="00512927" w:rsidP="00512927">
      <w:pPr>
        <w:pStyle w:val="HTMLPreformatted"/>
        <w:tabs>
          <w:tab w:val="clear" w:pos="4580"/>
          <w:tab w:val="left" w:pos="4820"/>
        </w:tabs>
        <w:ind w:left="284" w:right="-290"/>
        <w:rPr>
          <w:rStyle w:val="y2iqfc"/>
          <w:rFonts w:ascii="Arial Narrow" w:eastAsiaTheme="majorEastAsia" w:hAnsi="Arial Narrow"/>
          <w:color w:val="000000" w:themeColor="text1"/>
          <w:sz w:val="22"/>
          <w:szCs w:val="22"/>
          <w:lang w:val="en"/>
        </w:rPr>
      </w:pPr>
    </w:p>
    <w:p w:rsidR="00B46367" w:rsidRPr="00DB382A" w:rsidRDefault="00B46367" w:rsidP="00B46367">
      <w:pPr>
        <w:pStyle w:val="HTMLPreformatted"/>
        <w:tabs>
          <w:tab w:val="clear" w:pos="4580"/>
          <w:tab w:val="left" w:pos="4820"/>
        </w:tabs>
        <w:ind w:left="284" w:right="-290"/>
        <w:rPr>
          <w:rStyle w:val="y2iqfc"/>
          <w:rFonts w:ascii="Arial Narrow" w:eastAsiaTheme="majorEastAsia" w:hAnsi="Arial Narrow"/>
          <w:b/>
          <w:color w:val="000000" w:themeColor="text1"/>
          <w:sz w:val="22"/>
          <w:szCs w:val="22"/>
          <w:lang w:val="en"/>
        </w:rPr>
      </w:pPr>
      <w:r>
        <w:rPr>
          <w:rStyle w:val="y2iqfc"/>
          <w:rFonts w:ascii="Arial Narrow" w:eastAsiaTheme="majorEastAsia" w:hAnsi="Arial Narrow"/>
          <w:b/>
          <w:color w:val="000000" w:themeColor="text1"/>
          <w:sz w:val="22"/>
          <w:szCs w:val="22"/>
          <w:lang w:val="en"/>
        </w:rPr>
        <w:t>ACKNOWLEDGMENT</w:t>
      </w:r>
    </w:p>
    <w:p w:rsidR="00B46367" w:rsidRPr="00DB382A" w:rsidRDefault="00B46367" w:rsidP="00B46367">
      <w:pPr>
        <w:pStyle w:val="HTMLPreformatted"/>
        <w:tabs>
          <w:tab w:val="clear" w:pos="4580"/>
          <w:tab w:val="left" w:pos="4820"/>
        </w:tabs>
        <w:ind w:left="284" w:right="-290"/>
        <w:jc w:val="both"/>
        <w:rPr>
          <w:rStyle w:val="y2iqfc"/>
          <w:rFonts w:ascii="Arial Narrow" w:eastAsiaTheme="majorEastAsia" w:hAnsi="Arial Narrow"/>
          <w:color w:val="000000" w:themeColor="text1"/>
          <w:sz w:val="22"/>
          <w:szCs w:val="22"/>
          <w:lang w:val="en"/>
        </w:rPr>
      </w:pPr>
      <w:r w:rsidRPr="00B46367">
        <w:rPr>
          <w:rFonts w:ascii="Arial Narrow" w:eastAsiaTheme="majorEastAsia" w:hAnsi="Arial Narrow"/>
          <w:color w:val="000000" w:themeColor="text1"/>
          <w:sz w:val="22"/>
          <w:szCs w:val="22"/>
        </w:rPr>
        <w:t xml:space="preserve">The author gratefully acknowledges Universitas Pendidikan Ganesha for providing financial support for this research. The funding and institutional support have been invaluable in enabling the successful completion of this study. The author further wishes to thank </w:t>
      </w:r>
      <w:r>
        <w:rPr>
          <w:rFonts w:ascii="Arial Narrow" w:eastAsiaTheme="majorEastAsia" w:hAnsi="Arial Narrow"/>
          <w:color w:val="000000" w:themeColor="text1"/>
          <w:sz w:val="22"/>
          <w:szCs w:val="22"/>
        </w:rPr>
        <w:t xml:space="preserve">all </w:t>
      </w:r>
      <w:r w:rsidRPr="00B46367">
        <w:rPr>
          <w:rFonts w:ascii="Arial Narrow" w:eastAsiaTheme="majorEastAsia" w:hAnsi="Arial Narrow"/>
          <w:color w:val="000000" w:themeColor="text1"/>
          <w:sz w:val="22"/>
          <w:szCs w:val="22"/>
        </w:rPr>
        <w:t xml:space="preserve">participants and respondents who generously contributed their time and insights to this </w:t>
      </w:r>
      <w:r>
        <w:rPr>
          <w:rFonts w:ascii="Arial Narrow" w:eastAsiaTheme="majorEastAsia" w:hAnsi="Arial Narrow"/>
          <w:color w:val="000000" w:themeColor="text1"/>
          <w:sz w:val="22"/>
          <w:szCs w:val="22"/>
        </w:rPr>
        <w:t>research.</w:t>
      </w:r>
    </w:p>
    <w:p w:rsidR="00512927" w:rsidRDefault="00512927" w:rsidP="00512927">
      <w:pPr>
        <w:pStyle w:val="HTMLPreformatted"/>
        <w:tabs>
          <w:tab w:val="clear" w:pos="4580"/>
          <w:tab w:val="left" w:pos="4820"/>
        </w:tabs>
        <w:ind w:left="284" w:right="-290"/>
        <w:jc w:val="both"/>
        <w:rPr>
          <w:rStyle w:val="y2iqfc"/>
          <w:rFonts w:ascii="Arial Narrow" w:eastAsiaTheme="majorEastAsia" w:hAnsi="Arial Narrow"/>
          <w:b/>
          <w:color w:val="000000" w:themeColor="text1"/>
          <w:sz w:val="22"/>
          <w:szCs w:val="22"/>
          <w:lang w:val="en"/>
        </w:rPr>
      </w:pPr>
    </w:p>
    <w:p w:rsidR="00512927" w:rsidRPr="00DB382A" w:rsidRDefault="00512927" w:rsidP="00512927">
      <w:pPr>
        <w:pStyle w:val="HTMLPreformatted"/>
        <w:tabs>
          <w:tab w:val="clear" w:pos="4580"/>
          <w:tab w:val="left" w:pos="4820"/>
        </w:tabs>
        <w:ind w:left="284" w:right="-290"/>
        <w:jc w:val="both"/>
        <w:rPr>
          <w:rFonts w:ascii="Arial Narrow" w:eastAsiaTheme="majorEastAsia" w:hAnsi="Arial Narrow"/>
          <w:color w:val="000000" w:themeColor="text1"/>
          <w:sz w:val="22"/>
          <w:szCs w:val="22"/>
          <w:lang w:val="en"/>
        </w:rPr>
      </w:pPr>
      <w:r w:rsidRPr="00DB382A">
        <w:rPr>
          <w:rStyle w:val="y2iqfc"/>
          <w:rFonts w:ascii="Arial Narrow" w:eastAsiaTheme="majorEastAsia" w:hAnsi="Arial Narrow"/>
          <w:b/>
          <w:color w:val="000000" w:themeColor="text1"/>
          <w:sz w:val="22"/>
          <w:szCs w:val="22"/>
          <w:lang w:val="en"/>
        </w:rPr>
        <w:t>REFERENCE</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Pr>
          <w:rFonts w:ascii="Arial Narrow" w:hAnsi="Arial Narrow"/>
          <w:b/>
        </w:rPr>
        <w:fldChar w:fldCharType="begin" w:fldLock="1"/>
      </w:r>
      <w:r>
        <w:rPr>
          <w:rFonts w:ascii="Arial Narrow" w:hAnsi="Arial Narrow"/>
          <w:b/>
        </w:rPr>
        <w:instrText xml:space="preserve">ADDIN Mendeley Bibliography CSL_BIBLIOGRAPHY </w:instrText>
      </w:r>
      <w:r>
        <w:rPr>
          <w:rFonts w:ascii="Arial Narrow" w:hAnsi="Arial Narrow"/>
          <w:b/>
        </w:rPr>
        <w:fldChar w:fldCharType="separate"/>
      </w:r>
      <w:r w:rsidRPr="00512927">
        <w:rPr>
          <w:rFonts w:ascii="Arial Narrow" w:hAnsi="Arial Narrow" w:cs="Times New Roman"/>
          <w:noProof/>
          <w:lang w:val="en-GB"/>
        </w:rPr>
        <w:t xml:space="preserve">Agustini, N. K. T. (2023). Faktor Dukungan yang Berpengaruh Terhadap Kesadaran Diri Remaja Cegah Anemia. </w:t>
      </w:r>
      <w:r w:rsidRPr="00512927">
        <w:rPr>
          <w:rFonts w:ascii="Arial Narrow" w:hAnsi="Arial Narrow" w:cs="Times New Roman"/>
          <w:i/>
          <w:iCs/>
          <w:noProof/>
          <w:lang w:val="en-GB"/>
        </w:rPr>
        <w:t>Malahayati Nursing Journal</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5</w:t>
      </w:r>
      <w:r w:rsidRPr="00512927">
        <w:rPr>
          <w:rFonts w:ascii="Arial Narrow" w:hAnsi="Arial Narrow" w:cs="Times New Roman"/>
          <w:noProof/>
          <w:lang w:val="en-GB"/>
        </w:rPr>
        <w:t>(12), 4258–4269.</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Amir, N., &amp; Djokosujono, K. (2019). Faktor-Faktor yang Berhubungan dengan Konsumsi Tablet Tambah Darah (TTD) pada Remaja Putri di Indonesia: Literatur Review. </w:t>
      </w:r>
      <w:r w:rsidRPr="00512927">
        <w:rPr>
          <w:rFonts w:ascii="Arial Narrow" w:hAnsi="Arial Narrow" w:cs="Times New Roman"/>
          <w:i/>
          <w:iCs/>
          <w:noProof/>
          <w:lang w:val="en-GB"/>
        </w:rPr>
        <w:t>Jurnal Kedokteran Dan Kesehatan</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15</w:t>
      </w:r>
      <w:r w:rsidRPr="00512927">
        <w:rPr>
          <w:rFonts w:ascii="Arial Narrow" w:hAnsi="Arial Narrow" w:cs="Times New Roman"/>
          <w:noProof/>
          <w:lang w:val="en-GB"/>
        </w:rPr>
        <w:t>(2), 119. https://doi.org/10.24853/jkk.15.2.119-129</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Helmyati, S., Syarifa, C. A., Rizana, N. A., Sitorus, N. L., &amp; Pratiwi, D. (2023). Acceptance of Iron Supplementation Program among Adolescent Girls in Indonesia: A Literature Review. </w:t>
      </w:r>
      <w:r w:rsidRPr="00512927">
        <w:rPr>
          <w:rFonts w:ascii="Arial Narrow" w:hAnsi="Arial Narrow" w:cs="Times New Roman"/>
          <w:i/>
          <w:iCs/>
          <w:noProof/>
          <w:lang w:val="en-GB"/>
        </w:rPr>
        <w:t>Amerta Nutrition</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7</w:t>
      </w:r>
      <w:r w:rsidRPr="00512927">
        <w:rPr>
          <w:rFonts w:ascii="Arial Narrow" w:hAnsi="Arial Narrow" w:cs="Times New Roman"/>
          <w:noProof/>
          <w:lang w:val="en-GB"/>
        </w:rPr>
        <w:t>(3SP), 50–61. https://doi.org/10.20473/amnt.v7i3SP.2023.50-61</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Hmidiyanti Yuni Fitri, &amp; Pratiwi Intan Gumilang. (2021). Peran Teman Sebaya Dalam Meningkatkan Pengetahuan Kesehatan Reproduksi Pernikahan Usia Dini Pada Remaja. </w:t>
      </w:r>
      <w:r w:rsidRPr="00512927">
        <w:rPr>
          <w:rFonts w:ascii="Arial Narrow" w:hAnsi="Arial Narrow" w:cs="Times New Roman"/>
          <w:i/>
          <w:iCs/>
          <w:noProof/>
          <w:lang w:val="en-GB"/>
        </w:rPr>
        <w:t>Jurnal Pengabdian Masyarakat Sasambo</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3</w:t>
      </w:r>
      <w:r w:rsidRPr="00512927">
        <w:rPr>
          <w:rFonts w:ascii="Arial Narrow" w:hAnsi="Arial Narrow" w:cs="Times New Roman"/>
          <w:noProof/>
          <w:lang w:val="en-GB"/>
        </w:rPr>
        <w:t>(November).</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Masfufah, M., Kandarina, I., &amp; Padmawati, R. S. (2022). Penerimaan remaja putri terhadap tablet tambah darah di Kota Yogyakarta. </w:t>
      </w:r>
      <w:r w:rsidRPr="00512927">
        <w:rPr>
          <w:rFonts w:ascii="Arial Narrow" w:hAnsi="Arial Narrow" w:cs="Times New Roman"/>
          <w:i/>
          <w:iCs/>
          <w:noProof/>
          <w:lang w:val="en-GB"/>
        </w:rPr>
        <w:t>Jurnal Gizi Klinik Indonesia</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18</w:t>
      </w:r>
      <w:r w:rsidRPr="00512927">
        <w:rPr>
          <w:rFonts w:ascii="Arial Narrow" w:hAnsi="Arial Narrow" w:cs="Times New Roman"/>
          <w:noProof/>
          <w:lang w:val="en-GB"/>
        </w:rPr>
        <w:t>(3), 145. https://doi.org/10.22146/ijcn.37031</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Pamangin, L. O. M. (2023). Perilaku Konsumsi Tablet Tambah Darah (TTD) pada Remaja Putri. </w:t>
      </w:r>
      <w:r w:rsidRPr="00512927">
        <w:rPr>
          <w:rFonts w:ascii="Arial Narrow" w:hAnsi="Arial Narrow" w:cs="Times New Roman"/>
          <w:i/>
          <w:iCs/>
          <w:noProof/>
          <w:lang w:val="en-GB"/>
        </w:rPr>
        <w:t xml:space="preserve">Jurnal </w:t>
      </w:r>
      <w:r w:rsidRPr="00512927">
        <w:rPr>
          <w:rFonts w:ascii="Arial Narrow" w:hAnsi="Arial Narrow" w:cs="Times New Roman"/>
          <w:i/>
          <w:iCs/>
          <w:noProof/>
          <w:lang w:val="en-GB"/>
        </w:rPr>
        <w:lastRenderedPageBreak/>
        <w:t>Promotif Preventif</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6</w:t>
      </w:r>
      <w:r w:rsidRPr="00512927">
        <w:rPr>
          <w:rFonts w:ascii="Arial Narrow" w:hAnsi="Arial Narrow" w:cs="Times New Roman"/>
          <w:noProof/>
          <w:lang w:val="en-GB"/>
        </w:rPr>
        <w:t>(2), 311–317. https://doi.org/https://doi.org/10.47650/jpp.v6i2.746</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Pemayun, C. I. M., Winangsih, R., &amp; Ariyanti, K. S. (2023). Gambaran Perilaku Konsumsi Tablet Tambah Darah Pada Remaja Putri Di Tabanan. </w:t>
      </w:r>
      <w:r w:rsidRPr="00512927">
        <w:rPr>
          <w:rFonts w:ascii="Arial Narrow" w:hAnsi="Arial Narrow" w:cs="Times New Roman"/>
          <w:i/>
          <w:iCs/>
          <w:noProof/>
          <w:lang w:val="en-GB"/>
        </w:rPr>
        <w:t>Jurnal Medika Usada</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6</w:t>
      </w:r>
      <w:r w:rsidRPr="00512927">
        <w:rPr>
          <w:rFonts w:ascii="Arial Narrow" w:hAnsi="Arial Narrow" w:cs="Times New Roman"/>
          <w:noProof/>
          <w:lang w:val="en-GB"/>
        </w:rPr>
        <w:t>(1), 64–73. https://doi.org/10.54107/medikausada.v6i1.164</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Puspitasari, H. Z. G., Armini, N. K. A., Pradanie, R., &amp; Triharini, M. (2022). Anemia prevention behavior in female adolescents and related factors based on Theory of Planned Behavior: A cross-sectional study. </w:t>
      </w:r>
      <w:r w:rsidRPr="00512927">
        <w:rPr>
          <w:rFonts w:ascii="Arial Narrow" w:hAnsi="Arial Narrow" w:cs="Times New Roman"/>
          <w:i/>
          <w:iCs/>
          <w:noProof/>
          <w:lang w:val="en-GB"/>
        </w:rPr>
        <w:t>Jurnal Ners</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17</w:t>
      </w:r>
      <w:r w:rsidRPr="00512927">
        <w:rPr>
          <w:rFonts w:ascii="Arial Narrow" w:hAnsi="Arial Narrow" w:cs="Times New Roman"/>
          <w:noProof/>
          <w:lang w:val="en-GB"/>
        </w:rPr>
        <w:t>(1), 25–30. https://doi.org/10.20473/jn.v17i1.27744</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Rahayuningtyas, D., Indraswari, R., &amp; Musthofa, S. B. (2021). Faktor-Faktor Yang Berhubungan Dengan Praktik Konsumsi Tablet Tambah Darah (Ttd) Remaja Putri Di Wilayah Kerja Puskesmas Gilingan Kota Surakarta. </w:t>
      </w:r>
      <w:r w:rsidRPr="00512927">
        <w:rPr>
          <w:rFonts w:ascii="Arial Narrow" w:hAnsi="Arial Narrow" w:cs="Times New Roman"/>
          <w:i/>
          <w:iCs/>
          <w:noProof/>
          <w:lang w:val="en-GB"/>
        </w:rPr>
        <w:t>Jurnal Kesehatan Masyarakat (Undip)</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9</w:t>
      </w:r>
      <w:r w:rsidRPr="00512927">
        <w:rPr>
          <w:rFonts w:ascii="Arial Narrow" w:hAnsi="Arial Narrow" w:cs="Times New Roman"/>
          <w:noProof/>
          <w:lang w:val="en-GB"/>
        </w:rPr>
        <w:t>(3), 310–318. https://doi.org/10.14710/jkm.v9i3.29231</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Septi Yanti Nadila, P., &amp; Rustam, M. (2024). Pengaruh Edukasi Media Tiktok Terhadap Kepatuhan Konsumsi Tablet Tambah Darah Pada Remaja Putri. </w:t>
      </w:r>
      <w:r w:rsidRPr="00512927">
        <w:rPr>
          <w:rFonts w:ascii="Arial Narrow" w:hAnsi="Arial Narrow" w:cs="Times New Roman"/>
          <w:i/>
          <w:iCs/>
          <w:noProof/>
          <w:lang w:val="en-GB"/>
        </w:rPr>
        <w:t>Jurnalpedia</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6</w:t>
      </w:r>
      <w:r w:rsidRPr="00512927">
        <w:rPr>
          <w:rFonts w:ascii="Arial Narrow" w:hAnsi="Arial Narrow" w:cs="Times New Roman"/>
          <w:noProof/>
          <w:lang w:val="en-GB"/>
        </w:rPr>
        <w:t>(3), 222–233. https://journalpedia.com/1/index.php/jrkm</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cs="Times New Roman"/>
          <w:noProof/>
          <w:lang w:val="en-GB"/>
        </w:rPr>
      </w:pPr>
      <w:r w:rsidRPr="00512927">
        <w:rPr>
          <w:rFonts w:ascii="Arial Narrow" w:hAnsi="Arial Narrow" w:cs="Times New Roman"/>
          <w:noProof/>
          <w:lang w:val="en-GB"/>
        </w:rPr>
        <w:t xml:space="preserve">Sulistyawati, N., &amp; Nurjanah, A. S. (2018). Pengetahuan Remaja Putri Tentang Anemia Studi Kasus Pada Siswa Putri SMAN 1 Piyungan Bantul. </w:t>
      </w:r>
      <w:r w:rsidRPr="00512927">
        <w:rPr>
          <w:rFonts w:ascii="Arial Narrow" w:hAnsi="Arial Narrow" w:cs="Times New Roman"/>
          <w:i/>
          <w:iCs/>
          <w:noProof/>
          <w:lang w:val="en-GB"/>
        </w:rPr>
        <w:t>Jurnal Kesehatan Samodra Biru</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9</w:t>
      </w:r>
      <w:r w:rsidRPr="00512927">
        <w:rPr>
          <w:rFonts w:ascii="Arial Narrow" w:hAnsi="Arial Narrow" w:cs="Times New Roman"/>
          <w:noProof/>
          <w:lang w:val="en-GB"/>
        </w:rPr>
        <w:t>(2), 1–7.</w:t>
      </w:r>
    </w:p>
    <w:p w:rsidR="00512927" w:rsidRPr="00512927" w:rsidRDefault="00512927" w:rsidP="00512927">
      <w:pPr>
        <w:widowControl w:val="0"/>
        <w:tabs>
          <w:tab w:val="left" w:pos="4820"/>
        </w:tabs>
        <w:autoSpaceDE w:val="0"/>
        <w:autoSpaceDN w:val="0"/>
        <w:adjustRightInd w:val="0"/>
        <w:spacing w:after="0" w:line="240" w:lineRule="auto"/>
        <w:ind w:left="284" w:right="-290" w:hanging="480"/>
        <w:jc w:val="both"/>
        <w:rPr>
          <w:rFonts w:ascii="Arial Narrow" w:hAnsi="Arial Narrow"/>
          <w:noProof/>
        </w:rPr>
      </w:pPr>
      <w:r w:rsidRPr="00512927">
        <w:rPr>
          <w:rFonts w:ascii="Arial Narrow" w:hAnsi="Arial Narrow" w:cs="Times New Roman"/>
          <w:noProof/>
          <w:lang w:val="en-GB"/>
        </w:rPr>
        <w:t xml:space="preserve">Yenny Nilawati, Y. N. (2024). Hubungan Dukungan Teman Sebaya Dengan Minat Remaja Putri Minum Tablet Fe Di Smpn 2 Sukapura. </w:t>
      </w:r>
      <w:r w:rsidRPr="00512927">
        <w:rPr>
          <w:rFonts w:ascii="Arial Narrow" w:hAnsi="Arial Narrow" w:cs="Times New Roman"/>
          <w:i/>
          <w:iCs/>
          <w:noProof/>
          <w:lang w:val="en-GB"/>
        </w:rPr>
        <w:t>ASSYIFA</w:t>
      </w:r>
      <w:r w:rsidRPr="00512927">
        <w:rPr>
          <w:rFonts w:ascii="Arial" w:hAnsi="Arial" w:cs="Arial"/>
          <w:i/>
          <w:iCs/>
          <w:noProof/>
          <w:lang w:val="en-GB"/>
        </w:rPr>
        <w:t> </w:t>
      </w:r>
      <w:r w:rsidRPr="00512927">
        <w:rPr>
          <w:rFonts w:ascii="Arial Narrow" w:hAnsi="Arial Narrow" w:cs="Times New Roman"/>
          <w:i/>
          <w:iCs/>
          <w:noProof/>
          <w:lang w:val="en-GB"/>
        </w:rPr>
        <w:t>: Jurnal Ilmu Kesehatan</w:t>
      </w:r>
      <w:r w:rsidRPr="00512927">
        <w:rPr>
          <w:rFonts w:ascii="Arial Narrow" w:hAnsi="Arial Narrow" w:cs="Times New Roman"/>
          <w:noProof/>
          <w:lang w:val="en-GB"/>
        </w:rPr>
        <w:t xml:space="preserve">, </w:t>
      </w:r>
      <w:r w:rsidRPr="00512927">
        <w:rPr>
          <w:rFonts w:ascii="Arial Narrow" w:hAnsi="Arial Narrow" w:cs="Times New Roman"/>
          <w:i/>
          <w:iCs/>
          <w:noProof/>
          <w:lang w:val="en-GB"/>
        </w:rPr>
        <w:t>1</w:t>
      </w:r>
      <w:r w:rsidRPr="00512927">
        <w:rPr>
          <w:rFonts w:ascii="Arial Narrow" w:hAnsi="Arial Narrow" w:cs="Times New Roman"/>
          <w:noProof/>
          <w:lang w:val="en-GB"/>
        </w:rPr>
        <w:t>(1), 191–200. https://doi.org/10.62085/ajk.v1i1.33</w:t>
      </w:r>
    </w:p>
    <w:p w:rsidR="00512927" w:rsidRDefault="00512927" w:rsidP="00512927">
      <w:pPr>
        <w:widowControl w:val="0"/>
        <w:tabs>
          <w:tab w:val="left" w:pos="4820"/>
        </w:tabs>
        <w:autoSpaceDE w:val="0"/>
        <w:autoSpaceDN w:val="0"/>
        <w:adjustRightInd w:val="0"/>
        <w:spacing w:after="0" w:line="240" w:lineRule="auto"/>
        <w:ind w:left="284" w:right="-290" w:hanging="284"/>
        <w:jc w:val="both"/>
        <w:rPr>
          <w:rFonts w:ascii="Arial Narrow" w:eastAsia="Times New Roman" w:hAnsi="Arial Narrow" w:cs="Courier New"/>
          <w:b/>
          <w:lang w:val="en"/>
        </w:rPr>
        <w:sectPr w:rsidR="00512927" w:rsidSect="003E3D03">
          <w:type w:val="continuous"/>
          <w:pgSz w:w="11920" w:h="16840"/>
          <w:pgMar w:top="1560" w:right="1040" w:bottom="280" w:left="1100" w:header="720" w:footer="720" w:gutter="0"/>
          <w:cols w:num="2" w:space="1226"/>
        </w:sectPr>
      </w:pPr>
      <w:r>
        <w:rPr>
          <w:rFonts w:ascii="Arial Narrow" w:hAnsi="Arial Narrow"/>
          <w:b/>
        </w:rPr>
        <w:fldChar w:fldCharType="end"/>
      </w:r>
    </w:p>
    <w:p w:rsidR="00732315" w:rsidRPr="00732315" w:rsidRDefault="00732315" w:rsidP="00512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b/>
        </w:rPr>
      </w:pPr>
    </w:p>
    <w:sectPr w:rsidR="00732315" w:rsidRPr="00732315" w:rsidSect="003E3D03">
      <w:pgSz w:w="11920" w:h="16840"/>
      <w:pgMar w:top="1440" w:right="1080" w:bottom="1440" w:left="1080" w:header="720" w:footer="720" w:gutter="0"/>
      <w:cols w:num="2" w:space="122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956"/>
    <w:multiLevelType w:val="hybridMultilevel"/>
    <w:tmpl w:val="CA14EEE0"/>
    <w:lvl w:ilvl="0" w:tplc="E37EE3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97A09"/>
    <w:multiLevelType w:val="hybridMultilevel"/>
    <w:tmpl w:val="DB48E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BF6DDC"/>
    <w:multiLevelType w:val="hybridMultilevel"/>
    <w:tmpl w:val="94C03590"/>
    <w:lvl w:ilvl="0" w:tplc="57888610">
      <w:start w:val="14"/>
      <w:numFmt w:val="bullet"/>
      <w:lvlText w:val=""/>
      <w:lvlJc w:val="left"/>
      <w:pPr>
        <w:ind w:left="720" w:hanging="360"/>
      </w:pPr>
      <w:rPr>
        <w:rFonts w:ascii="Wingdings" w:eastAsia="Arial" w:hAnsi="Wingdings"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27FC7"/>
    <w:multiLevelType w:val="hybridMultilevel"/>
    <w:tmpl w:val="8F82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108597">
    <w:abstractNumId w:val="2"/>
  </w:num>
  <w:num w:numId="2" w16cid:durableId="1783963527">
    <w:abstractNumId w:val="3"/>
  </w:num>
  <w:num w:numId="3" w16cid:durableId="797259688">
    <w:abstractNumId w:val="1"/>
  </w:num>
  <w:num w:numId="4" w16cid:durableId="473136769">
    <w:abstractNumId w:val="0"/>
  </w:num>
  <w:num w:numId="5" w16cid:durableId="97382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15"/>
    <w:rsid w:val="00100C14"/>
    <w:rsid w:val="00281E41"/>
    <w:rsid w:val="0036089B"/>
    <w:rsid w:val="003B26B9"/>
    <w:rsid w:val="003E3D03"/>
    <w:rsid w:val="00512927"/>
    <w:rsid w:val="00540C65"/>
    <w:rsid w:val="005C2D67"/>
    <w:rsid w:val="00716859"/>
    <w:rsid w:val="00732315"/>
    <w:rsid w:val="007F5A4B"/>
    <w:rsid w:val="009140D1"/>
    <w:rsid w:val="00A12A31"/>
    <w:rsid w:val="00A60D2F"/>
    <w:rsid w:val="00AB0A48"/>
    <w:rsid w:val="00B46367"/>
    <w:rsid w:val="00BB1B6B"/>
    <w:rsid w:val="00C35DF5"/>
    <w:rsid w:val="00D56E28"/>
    <w:rsid w:val="00D630F6"/>
    <w:rsid w:val="00DB382A"/>
    <w:rsid w:val="00E64D50"/>
    <w:rsid w:val="00F8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7175"/>
  <w15:chartTrackingRefBased/>
  <w15:docId w15:val="{A9E2DC94-4FFE-4ECB-82AC-81ABD7F2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27"/>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table" w:styleId="TableGrid">
    <w:name w:val="Table Grid"/>
    <w:basedOn w:val="TableNormal"/>
    <w:uiPriority w:val="39"/>
    <w:rsid w:val="0028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1E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40C65"/>
    <w:rPr>
      <w:color w:val="0563C1" w:themeColor="hyperlink"/>
      <w:u w:val="single"/>
    </w:rPr>
  </w:style>
  <w:style w:type="character" w:styleId="UnresolvedMention">
    <w:name w:val="Unresolved Mention"/>
    <w:basedOn w:val="DefaultParagraphFont"/>
    <w:uiPriority w:val="99"/>
    <w:semiHidden/>
    <w:unhideWhenUsed/>
    <w:rsid w:val="00540C65"/>
    <w:rPr>
      <w:color w:val="605E5C"/>
      <w:shd w:val="clear" w:color="auto" w:fill="E1DFDD"/>
    </w:rPr>
  </w:style>
  <w:style w:type="paragraph" w:styleId="ListParagraph">
    <w:name w:val="List Paragraph"/>
    <w:basedOn w:val="Normal"/>
    <w:uiPriority w:val="34"/>
    <w:qFormat/>
    <w:rsid w:val="00F84134"/>
    <w:pPr>
      <w:ind w:left="720"/>
      <w:contextualSpacing/>
    </w:pPr>
  </w:style>
  <w:style w:type="paragraph" w:styleId="NormalWeb">
    <w:name w:val="Normal (Web)"/>
    <w:basedOn w:val="Normal"/>
    <w:uiPriority w:val="99"/>
    <w:unhideWhenUsed/>
    <w:rsid w:val="00D56E28"/>
    <w:pPr>
      <w:spacing w:before="100" w:beforeAutospacing="1" w:after="100" w:afterAutospacing="1" w:line="240" w:lineRule="auto"/>
    </w:pPr>
    <w:rPr>
      <w:rFonts w:ascii="Times New Roman" w:eastAsia="Times New Roman" w:hAnsi="Times New Roman" w:cs="Times New Roman"/>
      <w:sz w:val="24"/>
      <w:szCs w:val="24"/>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145903386">
      <w:bodyDiv w:val="1"/>
      <w:marLeft w:val="0"/>
      <w:marRight w:val="0"/>
      <w:marTop w:val="0"/>
      <w:marBottom w:val="0"/>
      <w:divBdr>
        <w:top w:val="none" w:sz="0" w:space="0" w:color="auto"/>
        <w:left w:val="none" w:sz="0" w:space="0" w:color="auto"/>
        <w:bottom w:val="none" w:sz="0" w:space="0" w:color="auto"/>
        <w:right w:val="none" w:sz="0" w:space="0" w:color="auto"/>
      </w:divBdr>
    </w:div>
    <w:div w:id="214582782">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247924790">
      <w:bodyDiv w:val="1"/>
      <w:marLeft w:val="0"/>
      <w:marRight w:val="0"/>
      <w:marTop w:val="0"/>
      <w:marBottom w:val="0"/>
      <w:divBdr>
        <w:top w:val="none" w:sz="0" w:space="0" w:color="auto"/>
        <w:left w:val="none" w:sz="0" w:space="0" w:color="auto"/>
        <w:bottom w:val="none" w:sz="0" w:space="0" w:color="auto"/>
        <w:right w:val="none" w:sz="0" w:space="0" w:color="auto"/>
      </w:divBdr>
    </w:div>
    <w:div w:id="259488522">
      <w:bodyDiv w:val="1"/>
      <w:marLeft w:val="0"/>
      <w:marRight w:val="0"/>
      <w:marTop w:val="0"/>
      <w:marBottom w:val="0"/>
      <w:divBdr>
        <w:top w:val="none" w:sz="0" w:space="0" w:color="auto"/>
        <w:left w:val="none" w:sz="0" w:space="0" w:color="auto"/>
        <w:bottom w:val="none" w:sz="0" w:space="0" w:color="auto"/>
        <w:right w:val="none" w:sz="0" w:space="0" w:color="auto"/>
      </w:divBdr>
    </w:div>
    <w:div w:id="293676779">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554700304">
      <w:bodyDiv w:val="1"/>
      <w:marLeft w:val="0"/>
      <w:marRight w:val="0"/>
      <w:marTop w:val="0"/>
      <w:marBottom w:val="0"/>
      <w:divBdr>
        <w:top w:val="none" w:sz="0" w:space="0" w:color="auto"/>
        <w:left w:val="none" w:sz="0" w:space="0" w:color="auto"/>
        <w:bottom w:val="none" w:sz="0" w:space="0" w:color="auto"/>
        <w:right w:val="none" w:sz="0" w:space="0" w:color="auto"/>
      </w:divBdr>
      <w:divsChild>
        <w:div w:id="1510678000">
          <w:marLeft w:val="0"/>
          <w:marRight w:val="0"/>
          <w:marTop w:val="0"/>
          <w:marBottom w:val="0"/>
          <w:divBdr>
            <w:top w:val="none" w:sz="0" w:space="0" w:color="auto"/>
            <w:left w:val="none" w:sz="0" w:space="0" w:color="auto"/>
            <w:bottom w:val="none" w:sz="0" w:space="0" w:color="auto"/>
            <w:right w:val="none" w:sz="0" w:space="0" w:color="auto"/>
          </w:divBdr>
          <w:divsChild>
            <w:div w:id="2098363436">
              <w:marLeft w:val="0"/>
              <w:marRight w:val="0"/>
              <w:marTop w:val="0"/>
              <w:marBottom w:val="0"/>
              <w:divBdr>
                <w:top w:val="none" w:sz="0" w:space="0" w:color="auto"/>
                <w:left w:val="none" w:sz="0" w:space="0" w:color="auto"/>
                <w:bottom w:val="none" w:sz="0" w:space="0" w:color="auto"/>
                <w:right w:val="none" w:sz="0" w:space="0" w:color="auto"/>
              </w:divBdr>
              <w:divsChild>
                <w:div w:id="1725252489">
                  <w:marLeft w:val="0"/>
                  <w:marRight w:val="0"/>
                  <w:marTop w:val="0"/>
                  <w:marBottom w:val="0"/>
                  <w:divBdr>
                    <w:top w:val="none" w:sz="0" w:space="0" w:color="auto"/>
                    <w:left w:val="none" w:sz="0" w:space="0" w:color="auto"/>
                    <w:bottom w:val="none" w:sz="0" w:space="0" w:color="auto"/>
                    <w:right w:val="none" w:sz="0" w:space="0" w:color="auto"/>
                  </w:divBdr>
                  <w:divsChild>
                    <w:div w:id="145513728">
                      <w:marLeft w:val="0"/>
                      <w:marRight w:val="0"/>
                      <w:marTop w:val="0"/>
                      <w:marBottom w:val="0"/>
                      <w:divBdr>
                        <w:top w:val="none" w:sz="0" w:space="0" w:color="auto"/>
                        <w:left w:val="none" w:sz="0" w:space="0" w:color="auto"/>
                        <w:bottom w:val="none" w:sz="0" w:space="0" w:color="auto"/>
                        <w:right w:val="none" w:sz="0" w:space="0" w:color="auto"/>
                      </w:divBdr>
                      <w:divsChild>
                        <w:div w:id="378557219">
                          <w:marLeft w:val="0"/>
                          <w:marRight w:val="0"/>
                          <w:marTop w:val="0"/>
                          <w:marBottom w:val="0"/>
                          <w:divBdr>
                            <w:top w:val="none" w:sz="0" w:space="0" w:color="auto"/>
                            <w:left w:val="none" w:sz="0" w:space="0" w:color="auto"/>
                            <w:bottom w:val="none" w:sz="0" w:space="0" w:color="auto"/>
                            <w:right w:val="none" w:sz="0" w:space="0" w:color="auto"/>
                          </w:divBdr>
                          <w:divsChild>
                            <w:div w:id="14815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2683">
      <w:bodyDiv w:val="1"/>
      <w:marLeft w:val="0"/>
      <w:marRight w:val="0"/>
      <w:marTop w:val="0"/>
      <w:marBottom w:val="0"/>
      <w:divBdr>
        <w:top w:val="none" w:sz="0" w:space="0" w:color="auto"/>
        <w:left w:val="none" w:sz="0" w:space="0" w:color="auto"/>
        <w:bottom w:val="none" w:sz="0" w:space="0" w:color="auto"/>
        <w:right w:val="none" w:sz="0" w:space="0" w:color="auto"/>
      </w:divBdr>
    </w:div>
    <w:div w:id="616179299">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07098971">
      <w:bodyDiv w:val="1"/>
      <w:marLeft w:val="0"/>
      <w:marRight w:val="0"/>
      <w:marTop w:val="0"/>
      <w:marBottom w:val="0"/>
      <w:divBdr>
        <w:top w:val="none" w:sz="0" w:space="0" w:color="auto"/>
        <w:left w:val="none" w:sz="0" w:space="0" w:color="auto"/>
        <w:bottom w:val="none" w:sz="0" w:space="0" w:color="auto"/>
        <w:right w:val="none" w:sz="0" w:space="0" w:color="auto"/>
      </w:divBdr>
      <w:divsChild>
        <w:div w:id="1635521532">
          <w:marLeft w:val="0"/>
          <w:marRight w:val="0"/>
          <w:marTop w:val="0"/>
          <w:marBottom w:val="0"/>
          <w:divBdr>
            <w:top w:val="none" w:sz="0" w:space="0" w:color="auto"/>
            <w:left w:val="none" w:sz="0" w:space="0" w:color="auto"/>
            <w:bottom w:val="none" w:sz="0" w:space="0" w:color="auto"/>
            <w:right w:val="none" w:sz="0" w:space="0" w:color="auto"/>
          </w:divBdr>
          <w:divsChild>
            <w:div w:id="1059478694">
              <w:marLeft w:val="0"/>
              <w:marRight w:val="0"/>
              <w:marTop w:val="0"/>
              <w:marBottom w:val="0"/>
              <w:divBdr>
                <w:top w:val="none" w:sz="0" w:space="0" w:color="auto"/>
                <w:left w:val="none" w:sz="0" w:space="0" w:color="auto"/>
                <w:bottom w:val="none" w:sz="0" w:space="0" w:color="auto"/>
                <w:right w:val="none" w:sz="0" w:space="0" w:color="auto"/>
              </w:divBdr>
              <w:divsChild>
                <w:div w:id="1992633876">
                  <w:marLeft w:val="0"/>
                  <w:marRight w:val="0"/>
                  <w:marTop w:val="0"/>
                  <w:marBottom w:val="0"/>
                  <w:divBdr>
                    <w:top w:val="none" w:sz="0" w:space="0" w:color="auto"/>
                    <w:left w:val="none" w:sz="0" w:space="0" w:color="auto"/>
                    <w:bottom w:val="none" w:sz="0" w:space="0" w:color="auto"/>
                    <w:right w:val="none" w:sz="0" w:space="0" w:color="auto"/>
                  </w:divBdr>
                  <w:divsChild>
                    <w:div w:id="938952969">
                      <w:marLeft w:val="0"/>
                      <w:marRight w:val="0"/>
                      <w:marTop w:val="0"/>
                      <w:marBottom w:val="0"/>
                      <w:divBdr>
                        <w:top w:val="none" w:sz="0" w:space="0" w:color="auto"/>
                        <w:left w:val="none" w:sz="0" w:space="0" w:color="auto"/>
                        <w:bottom w:val="none" w:sz="0" w:space="0" w:color="auto"/>
                        <w:right w:val="none" w:sz="0" w:space="0" w:color="auto"/>
                      </w:divBdr>
                      <w:divsChild>
                        <w:div w:id="1493451875">
                          <w:marLeft w:val="0"/>
                          <w:marRight w:val="0"/>
                          <w:marTop w:val="0"/>
                          <w:marBottom w:val="0"/>
                          <w:divBdr>
                            <w:top w:val="none" w:sz="0" w:space="0" w:color="auto"/>
                            <w:left w:val="none" w:sz="0" w:space="0" w:color="auto"/>
                            <w:bottom w:val="none" w:sz="0" w:space="0" w:color="auto"/>
                            <w:right w:val="none" w:sz="0" w:space="0" w:color="auto"/>
                          </w:divBdr>
                          <w:divsChild>
                            <w:div w:id="12232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72303651">
      <w:bodyDiv w:val="1"/>
      <w:marLeft w:val="0"/>
      <w:marRight w:val="0"/>
      <w:marTop w:val="0"/>
      <w:marBottom w:val="0"/>
      <w:divBdr>
        <w:top w:val="none" w:sz="0" w:space="0" w:color="auto"/>
        <w:left w:val="none" w:sz="0" w:space="0" w:color="auto"/>
        <w:bottom w:val="none" w:sz="0" w:space="0" w:color="auto"/>
        <w:right w:val="none" w:sz="0" w:space="0" w:color="auto"/>
      </w:divBdr>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19895877">
      <w:bodyDiv w:val="1"/>
      <w:marLeft w:val="0"/>
      <w:marRight w:val="0"/>
      <w:marTop w:val="0"/>
      <w:marBottom w:val="0"/>
      <w:divBdr>
        <w:top w:val="none" w:sz="0" w:space="0" w:color="auto"/>
        <w:left w:val="none" w:sz="0" w:space="0" w:color="auto"/>
        <w:bottom w:val="none" w:sz="0" w:space="0" w:color="auto"/>
        <w:right w:val="none" w:sz="0" w:space="0" w:color="auto"/>
      </w:divBdr>
      <w:divsChild>
        <w:div w:id="153881626">
          <w:marLeft w:val="0"/>
          <w:marRight w:val="0"/>
          <w:marTop w:val="0"/>
          <w:marBottom w:val="0"/>
          <w:divBdr>
            <w:top w:val="none" w:sz="0" w:space="0" w:color="auto"/>
            <w:left w:val="none" w:sz="0" w:space="0" w:color="auto"/>
            <w:bottom w:val="none" w:sz="0" w:space="0" w:color="auto"/>
            <w:right w:val="none" w:sz="0" w:space="0" w:color="auto"/>
          </w:divBdr>
          <w:divsChild>
            <w:div w:id="586159876">
              <w:marLeft w:val="0"/>
              <w:marRight w:val="0"/>
              <w:marTop w:val="0"/>
              <w:marBottom w:val="0"/>
              <w:divBdr>
                <w:top w:val="none" w:sz="0" w:space="0" w:color="auto"/>
                <w:left w:val="none" w:sz="0" w:space="0" w:color="auto"/>
                <w:bottom w:val="none" w:sz="0" w:space="0" w:color="auto"/>
                <w:right w:val="none" w:sz="0" w:space="0" w:color="auto"/>
              </w:divBdr>
              <w:divsChild>
                <w:div w:id="506604895">
                  <w:marLeft w:val="0"/>
                  <w:marRight w:val="0"/>
                  <w:marTop w:val="0"/>
                  <w:marBottom w:val="0"/>
                  <w:divBdr>
                    <w:top w:val="none" w:sz="0" w:space="0" w:color="auto"/>
                    <w:left w:val="none" w:sz="0" w:space="0" w:color="auto"/>
                    <w:bottom w:val="none" w:sz="0" w:space="0" w:color="auto"/>
                    <w:right w:val="none" w:sz="0" w:space="0" w:color="auto"/>
                  </w:divBdr>
                  <w:divsChild>
                    <w:div w:id="603999582">
                      <w:marLeft w:val="0"/>
                      <w:marRight w:val="0"/>
                      <w:marTop w:val="0"/>
                      <w:marBottom w:val="0"/>
                      <w:divBdr>
                        <w:top w:val="none" w:sz="0" w:space="0" w:color="auto"/>
                        <w:left w:val="none" w:sz="0" w:space="0" w:color="auto"/>
                        <w:bottom w:val="none" w:sz="0" w:space="0" w:color="auto"/>
                        <w:right w:val="none" w:sz="0" w:space="0" w:color="auto"/>
                      </w:divBdr>
                      <w:divsChild>
                        <w:div w:id="233929627">
                          <w:marLeft w:val="0"/>
                          <w:marRight w:val="0"/>
                          <w:marTop w:val="0"/>
                          <w:marBottom w:val="0"/>
                          <w:divBdr>
                            <w:top w:val="none" w:sz="0" w:space="0" w:color="auto"/>
                            <w:left w:val="none" w:sz="0" w:space="0" w:color="auto"/>
                            <w:bottom w:val="none" w:sz="0" w:space="0" w:color="auto"/>
                            <w:right w:val="none" w:sz="0" w:space="0" w:color="auto"/>
                          </w:divBdr>
                          <w:divsChild>
                            <w:div w:id="2300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044674206">
      <w:bodyDiv w:val="1"/>
      <w:marLeft w:val="0"/>
      <w:marRight w:val="0"/>
      <w:marTop w:val="0"/>
      <w:marBottom w:val="0"/>
      <w:divBdr>
        <w:top w:val="none" w:sz="0" w:space="0" w:color="auto"/>
        <w:left w:val="none" w:sz="0" w:space="0" w:color="auto"/>
        <w:bottom w:val="none" w:sz="0" w:space="0" w:color="auto"/>
        <w:right w:val="none" w:sz="0" w:space="0" w:color="auto"/>
      </w:divBdr>
    </w:div>
    <w:div w:id="1052270484">
      <w:bodyDiv w:val="1"/>
      <w:marLeft w:val="0"/>
      <w:marRight w:val="0"/>
      <w:marTop w:val="0"/>
      <w:marBottom w:val="0"/>
      <w:divBdr>
        <w:top w:val="none" w:sz="0" w:space="0" w:color="auto"/>
        <w:left w:val="none" w:sz="0" w:space="0" w:color="auto"/>
        <w:bottom w:val="none" w:sz="0" w:space="0" w:color="auto"/>
        <w:right w:val="none" w:sz="0" w:space="0" w:color="auto"/>
      </w:divBdr>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274828886">
      <w:bodyDiv w:val="1"/>
      <w:marLeft w:val="0"/>
      <w:marRight w:val="0"/>
      <w:marTop w:val="0"/>
      <w:marBottom w:val="0"/>
      <w:divBdr>
        <w:top w:val="none" w:sz="0" w:space="0" w:color="auto"/>
        <w:left w:val="none" w:sz="0" w:space="0" w:color="auto"/>
        <w:bottom w:val="none" w:sz="0" w:space="0" w:color="auto"/>
        <w:right w:val="none" w:sz="0" w:space="0" w:color="auto"/>
      </w:divBdr>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604801026">
      <w:bodyDiv w:val="1"/>
      <w:marLeft w:val="0"/>
      <w:marRight w:val="0"/>
      <w:marTop w:val="0"/>
      <w:marBottom w:val="0"/>
      <w:divBdr>
        <w:top w:val="none" w:sz="0" w:space="0" w:color="auto"/>
        <w:left w:val="none" w:sz="0" w:space="0" w:color="auto"/>
        <w:bottom w:val="none" w:sz="0" w:space="0" w:color="auto"/>
        <w:right w:val="none" w:sz="0" w:space="0" w:color="auto"/>
      </w:divBdr>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729379640">
      <w:bodyDiv w:val="1"/>
      <w:marLeft w:val="0"/>
      <w:marRight w:val="0"/>
      <w:marTop w:val="0"/>
      <w:marBottom w:val="0"/>
      <w:divBdr>
        <w:top w:val="none" w:sz="0" w:space="0" w:color="auto"/>
        <w:left w:val="none" w:sz="0" w:space="0" w:color="auto"/>
        <w:bottom w:val="none" w:sz="0" w:space="0" w:color="auto"/>
        <w:right w:val="none" w:sz="0" w:space="0" w:color="auto"/>
      </w:divBdr>
    </w:div>
    <w:div w:id="1797872557">
      <w:bodyDiv w:val="1"/>
      <w:marLeft w:val="0"/>
      <w:marRight w:val="0"/>
      <w:marTop w:val="0"/>
      <w:marBottom w:val="0"/>
      <w:divBdr>
        <w:top w:val="none" w:sz="0" w:space="0" w:color="auto"/>
        <w:left w:val="none" w:sz="0" w:space="0" w:color="auto"/>
        <w:bottom w:val="none" w:sz="0" w:space="0" w:color="auto"/>
        <w:right w:val="none" w:sz="0" w:space="0" w:color="auto"/>
      </w:divBdr>
      <w:divsChild>
        <w:div w:id="2081829027">
          <w:marLeft w:val="0"/>
          <w:marRight w:val="0"/>
          <w:marTop w:val="0"/>
          <w:marBottom w:val="0"/>
          <w:divBdr>
            <w:top w:val="none" w:sz="0" w:space="0" w:color="auto"/>
            <w:left w:val="none" w:sz="0" w:space="0" w:color="auto"/>
            <w:bottom w:val="none" w:sz="0" w:space="0" w:color="auto"/>
            <w:right w:val="none" w:sz="0" w:space="0" w:color="auto"/>
          </w:divBdr>
          <w:divsChild>
            <w:div w:id="1766220613">
              <w:marLeft w:val="0"/>
              <w:marRight w:val="0"/>
              <w:marTop w:val="0"/>
              <w:marBottom w:val="0"/>
              <w:divBdr>
                <w:top w:val="none" w:sz="0" w:space="0" w:color="auto"/>
                <w:left w:val="none" w:sz="0" w:space="0" w:color="auto"/>
                <w:bottom w:val="none" w:sz="0" w:space="0" w:color="auto"/>
                <w:right w:val="none" w:sz="0" w:space="0" w:color="auto"/>
              </w:divBdr>
              <w:divsChild>
                <w:div w:id="19086113">
                  <w:marLeft w:val="0"/>
                  <w:marRight w:val="0"/>
                  <w:marTop w:val="0"/>
                  <w:marBottom w:val="0"/>
                  <w:divBdr>
                    <w:top w:val="none" w:sz="0" w:space="0" w:color="auto"/>
                    <w:left w:val="none" w:sz="0" w:space="0" w:color="auto"/>
                    <w:bottom w:val="none" w:sz="0" w:space="0" w:color="auto"/>
                    <w:right w:val="none" w:sz="0" w:space="0" w:color="auto"/>
                  </w:divBdr>
                  <w:divsChild>
                    <w:div w:id="1291321874">
                      <w:marLeft w:val="0"/>
                      <w:marRight w:val="0"/>
                      <w:marTop w:val="0"/>
                      <w:marBottom w:val="0"/>
                      <w:divBdr>
                        <w:top w:val="none" w:sz="0" w:space="0" w:color="auto"/>
                        <w:left w:val="none" w:sz="0" w:space="0" w:color="auto"/>
                        <w:bottom w:val="none" w:sz="0" w:space="0" w:color="auto"/>
                        <w:right w:val="none" w:sz="0" w:space="0" w:color="auto"/>
                      </w:divBdr>
                      <w:divsChild>
                        <w:div w:id="906040166">
                          <w:marLeft w:val="0"/>
                          <w:marRight w:val="0"/>
                          <w:marTop w:val="0"/>
                          <w:marBottom w:val="0"/>
                          <w:divBdr>
                            <w:top w:val="none" w:sz="0" w:space="0" w:color="auto"/>
                            <w:left w:val="none" w:sz="0" w:space="0" w:color="auto"/>
                            <w:bottom w:val="none" w:sz="0" w:space="0" w:color="auto"/>
                            <w:right w:val="none" w:sz="0" w:space="0" w:color="auto"/>
                          </w:divBdr>
                          <w:divsChild>
                            <w:div w:id="18513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putri@undiksh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2DB3-FD54-499B-AF5E-D137B96D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9347</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Nabila Amelia</cp:lastModifiedBy>
  <cp:revision>6</cp:revision>
  <dcterms:created xsi:type="dcterms:W3CDTF">2022-05-11T07:52:00Z</dcterms:created>
  <dcterms:modified xsi:type="dcterms:W3CDTF">2025-09-13T13:13:00Z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11ad5a6a-986b-3fb4-88f7-5c0630119624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