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0FA68" w14:textId="77777777" w:rsidR="006709DF" w:rsidRPr="00C15BBA" w:rsidRDefault="006709DF" w:rsidP="00C15BBA">
      <w:pPr>
        <w:spacing w:after="0" w:line="240" w:lineRule="auto"/>
        <w:jc w:val="center"/>
        <w:rPr>
          <w:rFonts w:ascii="Verdana" w:eastAsia="Times New Roman" w:hAnsi="Verdana" w:cs="Times New Roman"/>
          <w:b/>
          <w:sz w:val="20"/>
          <w:szCs w:val="20"/>
        </w:rPr>
      </w:pPr>
      <w:bookmarkStart w:id="0" w:name="_Hlk132058750"/>
      <w:r w:rsidRPr="00C15BBA">
        <w:rPr>
          <w:rFonts w:ascii="Verdana" w:eastAsia="Times New Roman" w:hAnsi="Verdana" w:cs="Times New Roman"/>
          <w:b/>
          <w:sz w:val="20"/>
          <w:szCs w:val="20"/>
        </w:rPr>
        <w:t xml:space="preserve">TUBEX TF DAN HUBUNGANNYA DENGAN ANGKA LEUKOSIT </w:t>
      </w:r>
    </w:p>
    <w:p w14:paraId="178B5BF7" w14:textId="0B789320" w:rsidR="006709DF" w:rsidRPr="00C15BBA" w:rsidRDefault="006709DF" w:rsidP="00C15BBA">
      <w:pPr>
        <w:spacing w:after="0" w:line="240" w:lineRule="auto"/>
        <w:jc w:val="center"/>
        <w:rPr>
          <w:rFonts w:ascii="Verdana" w:eastAsia="Times New Roman" w:hAnsi="Verdana" w:cs="Times New Roman"/>
          <w:b/>
          <w:sz w:val="20"/>
          <w:szCs w:val="20"/>
        </w:rPr>
      </w:pPr>
      <w:r w:rsidRPr="00C15BBA">
        <w:rPr>
          <w:rFonts w:ascii="Verdana" w:eastAsia="Times New Roman" w:hAnsi="Verdana" w:cs="Times New Roman"/>
          <w:b/>
          <w:sz w:val="20"/>
          <w:szCs w:val="20"/>
        </w:rPr>
        <w:t xml:space="preserve">PADA PENDERITA DEMAM TIFOID </w:t>
      </w:r>
    </w:p>
    <w:p w14:paraId="60442E1C" w14:textId="09157738" w:rsidR="00113E9D" w:rsidRDefault="006709DF" w:rsidP="00C15BBA">
      <w:pPr>
        <w:spacing w:after="0" w:line="240" w:lineRule="auto"/>
        <w:jc w:val="center"/>
        <w:rPr>
          <w:rFonts w:ascii="Verdana" w:eastAsia="Times New Roman" w:hAnsi="Verdana" w:cs="Times New Roman"/>
          <w:b/>
          <w:sz w:val="20"/>
          <w:szCs w:val="20"/>
        </w:rPr>
      </w:pPr>
      <w:r w:rsidRPr="00C15BBA">
        <w:rPr>
          <w:rFonts w:ascii="Verdana" w:eastAsia="Times New Roman" w:hAnsi="Verdana" w:cs="Times New Roman"/>
          <w:b/>
          <w:sz w:val="20"/>
          <w:szCs w:val="20"/>
        </w:rPr>
        <w:t>DI RUMAH SAKIT UMUM CUT MEUTIA ACEH UTARA</w:t>
      </w:r>
    </w:p>
    <w:p w14:paraId="1CFFF395" w14:textId="77777777" w:rsidR="00784AC2" w:rsidRPr="00C15BBA" w:rsidRDefault="00784AC2" w:rsidP="00C15BBA">
      <w:pPr>
        <w:spacing w:after="0" w:line="240" w:lineRule="auto"/>
        <w:jc w:val="center"/>
        <w:rPr>
          <w:rFonts w:ascii="Verdana" w:eastAsia="Times New Roman" w:hAnsi="Verdana" w:cs="Times New Roman"/>
          <w:b/>
          <w:sz w:val="20"/>
          <w:szCs w:val="20"/>
        </w:rPr>
      </w:pPr>
    </w:p>
    <w:bookmarkEnd w:id="0"/>
    <w:p w14:paraId="32A9E108" w14:textId="2E7BCCA0" w:rsidR="00113E9D" w:rsidRPr="00784AC2" w:rsidRDefault="00113E9D" w:rsidP="00C15BBA">
      <w:pPr>
        <w:tabs>
          <w:tab w:val="left" w:pos="300"/>
          <w:tab w:val="center" w:pos="4535"/>
        </w:tabs>
        <w:autoSpaceDE w:val="0"/>
        <w:autoSpaceDN w:val="0"/>
        <w:adjustRightInd w:val="0"/>
        <w:spacing w:after="0" w:line="360" w:lineRule="auto"/>
        <w:rPr>
          <w:rFonts w:ascii="Verdana" w:hAnsi="Verdana" w:cs="Times New Roman"/>
          <w:b/>
          <w:sz w:val="20"/>
          <w:szCs w:val="20"/>
        </w:rPr>
      </w:pPr>
      <w:r w:rsidRPr="00C15BBA">
        <w:rPr>
          <w:rFonts w:ascii="Verdana" w:hAnsi="Verdana" w:cs="Times New Roman"/>
          <w:sz w:val="20"/>
          <w:szCs w:val="20"/>
        </w:rPr>
        <w:tab/>
      </w:r>
      <w:r w:rsidRPr="00C15BBA">
        <w:rPr>
          <w:rFonts w:ascii="Verdana" w:hAnsi="Verdana" w:cs="Times New Roman"/>
          <w:sz w:val="20"/>
          <w:szCs w:val="20"/>
        </w:rPr>
        <w:tab/>
      </w:r>
      <w:r w:rsidRPr="00784AC2">
        <w:rPr>
          <w:rFonts w:ascii="Verdana" w:hAnsi="Verdana" w:cs="Times New Roman"/>
          <w:b/>
          <w:sz w:val="20"/>
          <w:szCs w:val="20"/>
        </w:rPr>
        <w:t>Rizka Sofia</w:t>
      </w:r>
      <w:r w:rsidRPr="00784AC2">
        <w:rPr>
          <w:rFonts w:ascii="Verdana" w:hAnsi="Verdana" w:cs="Times New Roman"/>
          <w:b/>
          <w:sz w:val="20"/>
          <w:szCs w:val="20"/>
          <w:vertAlign w:val="superscript"/>
        </w:rPr>
        <w:t>1</w:t>
      </w:r>
      <w:r w:rsidRPr="00784AC2">
        <w:rPr>
          <w:rFonts w:ascii="Verdana" w:hAnsi="Verdana" w:cs="Times New Roman"/>
          <w:b/>
          <w:sz w:val="20"/>
          <w:szCs w:val="20"/>
        </w:rPr>
        <w:t>, Juwita Sahputri</w:t>
      </w:r>
      <w:r w:rsidRPr="00784AC2">
        <w:rPr>
          <w:rFonts w:ascii="Verdana" w:eastAsia="Times New Roman" w:hAnsi="Verdana" w:cs="Times New Roman"/>
          <w:b/>
          <w:color w:val="000000"/>
          <w:sz w:val="20"/>
          <w:szCs w:val="20"/>
          <w:vertAlign w:val="superscript"/>
        </w:rPr>
        <w:t>2</w:t>
      </w:r>
      <w:r w:rsidRPr="00784AC2">
        <w:rPr>
          <w:rFonts w:ascii="Verdana" w:hAnsi="Verdana" w:cs="Times New Roman"/>
          <w:b/>
          <w:sz w:val="20"/>
          <w:szCs w:val="20"/>
        </w:rPr>
        <w:t>, Natasya Venanda</w:t>
      </w:r>
      <w:r w:rsidRPr="00784AC2">
        <w:rPr>
          <w:rFonts w:ascii="Verdana" w:eastAsia="Times New Roman" w:hAnsi="Verdana" w:cs="Times New Roman"/>
          <w:b/>
          <w:color w:val="000000"/>
          <w:sz w:val="20"/>
          <w:szCs w:val="20"/>
          <w:vertAlign w:val="superscript"/>
        </w:rPr>
        <w:t>3</w:t>
      </w:r>
    </w:p>
    <w:p w14:paraId="3A2AC939" w14:textId="5D4C887F" w:rsidR="00113E9D" w:rsidRPr="00C15BBA" w:rsidRDefault="00113E9D" w:rsidP="00C15BBA">
      <w:pPr>
        <w:autoSpaceDE w:val="0"/>
        <w:autoSpaceDN w:val="0"/>
        <w:adjustRightInd w:val="0"/>
        <w:spacing w:after="0" w:line="240" w:lineRule="auto"/>
        <w:jc w:val="center"/>
        <w:rPr>
          <w:rFonts w:ascii="Verdana" w:eastAsia="Times New Roman" w:hAnsi="Verdana" w:cs="Times New Roman"/>
          <w:sz w:val="20"/>
          <w:szCs w:val="20"/>
        </w:rPr>
      </w:pPr>
      <w:r w:rsidRPr="00C15BBA">
        <w:rPr>
          <w:rFonts w:ascii="Verdana" w:hAnsi="Verdana" w:cs="Times New Roman"/>
          <w:sz w:val="20"/>
          <w:szCs w:val="20"/>
          <w:vertAlign w:val="superscript"/>
        </w:rPr>
        <w:t>1</w:t>
      </w:r>
      <w:r w:rsidRPr="00C15BBA">
        <w:rPr>
          <w:rFonts w:ascii="Verdana" w:eastAsia="Times New Roman" w:hAnsi="Verdana" w:cs="Times New Roman"/>
          <w:sz w:val="20"/>
          <w:szCs w:val="20"/>
        </w:rPr>
        <w:t xml:space="preserve"> Departemen </w:t>
      </w:r>
      <w:r w:rsidR="00310782" w:rsidRPr="00C15BBA">
        <w:rPr>
          <w:rFonts w:ascii="Verdana" w:eastAsia="Times New Roman" w:hAnsi="Verdana" w:cs="Times New Roman"/>
          <w:sz w:val="20"/>
          <w:szCs w:val="20"/>
        </w:rPr>
        <w:t>Parasitolog</w:t>
      </w:r>
      <w:r w:rsidRPr="00C15BBA">
        <w:rPr>
          <w:rFonts w:ascii="Verdana" w:eastAsia="Times New Roman" w:hAnsi="Verdana" w:cs="Times New Roman"/>
          <w:sz w:val="20"/>
          <w:szCs w:val="20"/>
        </w:rPr>
        <w:t xml:space="preserve">i, Fakultas Kedokteran, Universitas Malikussaleh </w:t>
      </w:r>
    </w:p>
    <w:p w14:paraId="167656F7" w14:textId="208BC4AC" w:rsidR="00113E9D" w:rsidRPr="00C15BBA" w:rsidRDefault="00113E9D" w:rsidP="00C15BBA">
      <w:pPr>
        <w:autoSpaceDE w:val="0"/>
        <w:autoSpaceDN w:val="0"/>
        <w:adjustRightInd w:val="0"/>
        <w:spacing w:after="0" w:line="240" w:lineRule="auto"/>
        <w:jc w:val="center"/>
        <w:rPr>
          <w:rFonts w:ascii="Verdana" w:hAnsi="Verdana" w:cs="Times New Roman"/>
          <w:sz w:val="20"/>
          <w:szCs w:val="20"/>
          <w:vertAlign w:val="superscript"/>
        </w:rPr>
      </w:pPr>
      <w:r w:rsidRPr="00C15BBA">
        <w:rPr>
          <w:rFonts w:ascii="Verdana" w:eastAsia="Times New Roman" w:hAnsi="Verdana" w:cs="Times New Roman"/>
          <w:sz w:val="20"/>
          <w:szCs w:val="20"/>
          <w:vertAlign w:val="superscript"/>
        </w:rPr>
        <w:t>2</w:t>
      </w:r>
      <w:r w:rsidRPr="00C15BBA">
        <w:rPr>
          <w:rFonts w:ascii="Verdana" w:eastAsia="Times New Roman" w:hAnsi="Verdana" w:cs="Times New Roman"/>
          <w:sz w:val="20"/>
          <w:szCs w:val="20"/>
        </w:rPr>
        <w:t xml:space="preserve"> Departemen Mikrobiologi, Fakultas Kedokteran, Universitas Malikussaleh</w:t>
      </w:r>
      <w:r w:rsidRPr="00C15BBA">
        <w:rPr>
          <w:rFonts w:ascii="Verdana" w:hAnsi="Verdana" w:cs="Times New Roman"/>
          <w:sz w:val="20"/>
          <w:szCs w:val="20"/>
          <w:vertAlign w:val="superscript"/>
        </w:rPr>
        <w:t xml:space="preserve"> </w:t>
      </w:r>
    </w:p>
    <w:p w14:paraId="54F3119A" w14:textId="2120A5C7" w:rsidR="00113E9D" w:rsidRPr="00C15BBA" w:rsidRDefault="00113E9D" w:rsidP="00C15BBA">
      <w:pPr>
        <w:autoSpaceDE w:val="0"/>
        <w:autoSpaceDN w:val="0"/>
        <w:adjustRightInd w:val="0"/>
        <w:spacing w:after="0" w:line="240" w:lineRule="auto"/>
        <w:jc w:val="center"/>
        <w:rPr>
          <w:rFonts w:ascii="Verdana" w:hAnsi="Verdana" w:cs="Times New Roman"/>
          <w:sz w:val="20"/>
          <w:szCs w:val="20"/>
          <w:vertAlign w:val="superscript"/>
        </w:rPr>
      </w:pPr>
      <w:r w:rsidRPr="00C15BBA">
        <w:rPr>
          <w:rFonts w:ascii="Verdana" w:eastAsia="Times New Roman" w:hAnsi="Verdana" w:cs="Times New Roman"/>
          <w:sz w:val="20"/>
          <w:szCs w:val="20"/>
          <w:vertAlign w:val="superscript"/>
        </w:rPr>
        <w:t xml:space="preserve">3 </w:t>
      </w:r>
      <w:r w:rsidRPr="00C15BBA">
        <w:rPr>
          <w:rFonts w:ascii="Verdana" w:eastAsia="Times New Roman" w:hAnsi="Verdana" w:cs="Times New Roman"/>
          <w:sz w:val="20"/>
          <w:szCs w:val="20"/>
        </w:rPr>
        <w:t>Prodi Kedokteran, Fakultas Kedokteran</w:t>
      </w:r>
      <w:proofErr w:type="gramStart"/>
      <w:r w:rsidRPr="00C15BBA">
        <w:rPr>
          <w:rFonts w:ascii="Verdana" w:eastAsia="Times New Roman" w:hAnsi="Verdana" w:cs="Times New Roman"/>
          <w:sz w:val="20"/>
          <w:szCs w:val="20"/>
        </w:rPr>
        <w:t>,  Universitas</w:t>
      </w:r>
      <w:proofErr w:type="gramEnd"/>
      <w:r w:rsidRPr="00C15BBA">
        <w:rPr>
          <w:rFonts w:ascii="Verdana" w:eastAsia="Times New Roman" w:hAnsi="Verdana" w:cs="Times New Roman"/>
          <w:sz w:val="20"/>
          <w:szCs w:val="20"/>
        </w:rPr>
        <w:t xml:space="preserve"> Malikussaleh</w:t>
      </w:r>
      <w:r w:rsidRPr="00C15BBA">
        <w:rPr>
          <w:rFonts w:ascii="Verdana" w:hAnsi="Verdana" w:cs="Times New Roman"/>
          <w:sz w:val="20"/>
          <w:szCs w:val="20"/>
          <w:vertAlign w:val="superscript"/>
        </w:rPr>
        <w:br/>
      </w:r>
    </w:p>
    <w:p w14:paraId="11A609B9" w14:textId="1B7C0BB6" w:rsidR="00B76796" w:rsidRPr="00B76796" w:rsidRDefault="00113E9D" w:rsidP="00B76796">
      <w:pPr>
        <w:pBdr>
          <w:bottom w:val="single" w:sz="6" w:space="1" w:color="auto"/>
        </w:pBdr>
        <w:autoSpaceDE w:val="0"/>
        <w:autoSpaceDN w:val="0"/>
        <w:adjustRightInd w:val="0"/>
        <w:spacing w:line="360" w:lineRule="auto"/>
        <w:jc w:val="center"/>
      </w:pPr>
      <w:r w:rsidRPr="00C15BBA">
        <w:rPr>
          <w:rFonts w:ascii="Verdana" w:hAnsi="Verdana" w:cs="Times New Roman"/>
          <w:i/>
          <w:sz w:val="20"/>
          <w:szCs w:val="20"/>
          <w:vertAlign w:val="superscript"/>
        </w:rPr>
        <w:t>*</w:t>
      </w:r>
      <w:r w:rsidRPr="00C15BBA">
        <w:rPr>
          <w:rFonts w:ascii="Verdana" w:hAnsi="Verdana" w:cs="Times New Roman"/>
          <w:i/>
          <w:sz w:val="20"/>
          <w:szCs w:val="20"/>
        </w:rPr>
        <w:t xml:space="preserve">Corresponding </w:t>
      </w:r>
      <w:proofErr w:type="gramStart"/>
      <w:r w:rsidRPr="00C15BBA">
        <w:rPr>
          <w:rFonts w:ascii="Verdana" w:hAnsi="Verdana" w:cs="Times New Roman"/>
          <w:i/>
          <w:sz w:val="20"/>
          <w:szCs w:val="20"/>
        </w:rPr>
        <w:t>Author :</w:t>
      </w:r>
      <w:proofErr w:type="gramEnd"/>
      <w:r w:rsidRPr="00C15BBA">
        <w:rPr>
          <w:rFonts w:ascii="Verdana" w:hAnsi="Verdana" w:cs="Times New Roman"/>
          <w:i/>
          <w:sz w:val="20"/>
          <w:szCs w:val="20"/>
        </w:rPr>
        <w:t xml:space="preserve"> </w:t>
      </w:r>
      <w:hyperlink r:id="rId9" w:history="1">
        <w:r w:rsidR="00B76796" w:rsidRPr="00626F2D">
          <w:rPr>
            <w:rStyle w:val="Hyperlink"/>
          </w:rPr>
          <w:t>rizka.sofia@unimal.ac.id</w:t>
        </w:r>
      </w:hyperlink>
    </w:p>
    <w:p w14:paraId="33EABF15" w14:textId="1A5C19F1" w:rsidR="00C15BBA" w:rsidRPr="007B1862" w:rsidRDefault="00113E9D" w:rsidP="007B1862">
      <w:pPr>
        <w:autoSpaceDE w:val="0"/>
        <w:autoSpaceDN w:val="0"/>
        <w:adjustRightInd w:val="0"/>
        <w:spacing w:after="0" w:line="240" w:lineRule="auto"/>
        <w:jc w:val="both"/>
        <w:rPr>
          <w:rFonts w:ascii="Verdana" w:hAnsi="Verdana" w:cs="Times New Roman"/>
          <w:i/>
          <w:sz w:val="20"/>
          <w:szCs w:val="20"/>
        </w:rPr>
      </w:pPr>
      <w:r w:rsidRPr="00642FF0">
        <w:rPr>
          <w:rFonts w:ascii="Verdana" w:hAnsi="Verdana" w:cs="Times New Roman"/>
          <w:b/>
          <w:i/>
          <w:sz w:val="20"/>
          <w:szCs w:val="20"/>
        </w:rPr>
        <w:t>Abs</w:t>
      </w:r>
      <w:r w:rsidR="00C15BBA" w:rsidRPr="00642FF0">
        <w:rPr>
          <w:rFonts w:ascii="Verdana" w:hAnsi="Verdana" w:cs="Times New Roman"/>
          <w:b/>
          <w:i/>
          <w:sz w:val="20"/>
          <w:szCs w:val="20"/>
        </w:rPr>
        <w:t>tract</w:t>
      </w:r>
      <w:r w:rsidR="007B1862">
        <w:rPr>
          <w:rFonts w:ascii="Verdana" w:hAnsi="Verdana" w:cs="Times New Roman"/>
          <w:i/>
          <w:sz w:val="20"/>
          <w:szCs w:val="20"/>
        </w:rPr>
        <w:t xml:space="preserve">: </w:t>
      </w:r>
      <w:r w:rsidR="007B1862" w:rsidRPr="007B1862">
        <w:rPr>
          <w:rFonts w:ascii="Verdana" w:hAnsi="Verdana" w:cs="Times New Roman"/>
          <w:b/>
          <w:bCs/>
          <w:i/>
          <w:iCs/>
          <w:sz w:val="20"/>
          <w:szCs w:val="20"/>
        </w:rPr>
        <w:t>Tubex TF and its relationship with leukocyte count in patients with typhoid fever at Cut Meutia General Hospital Aceh Utara.</w:t>
      </w:r>
      <w:r w:rsidR="007B1862">
        <w:rPr>
          <w:rFonts w:ascii="Verdana" w:hAnsi="Verdana" w:cs="Times New Roman"/>
          <w:i/>
          <w:iCs/>
          <w:sz w:val="20"/>
          <w:szCs w:val="20"/>
        </w:rPr>
        <w:t xml:space="preserve"> </w:t>
      </w:r>
      <w:r w:rsidR="00C15BBA" w:rsidRPr="00642FF0">
        <w:rPr>
          <w:rFonts w:ascii="Verdana" w:hAnsi="Verdana" w:cs="Times New Roman"/>
          <w:i/>
          <w:iCs/>
          <w:sz w:val="20"/>
          <w:szCs w:val="20"/>
        </w:rPr>
        <w:t>Typhoid fever is still an endemic disease in Indonesia. It's caused by a typhi salmonella infection. A tf tubex examination was one of the cerology tests for acute typhoid fever. The incidence of salmonella typhi in typhoid fever characterized by increased levels of positipositives tubex tf will affect leukocytes count. A regular blood check suggests leukopenia, but a normal number of leukocytes or leukocytes may also occur. The research was intended to know the relation of tubex tf degrees of positivity to leukocytes in typhoid fever patients in the hospital general cut Aceh. This study is an analytic observational study with a sectional cross approach.The data collection was carried out in December 2022 through the results of a medical record with a sample number of 150 patients with a mastersive sampling of samples that meet the inclusion and exclusion criteria. Studies show that the majority of women and ages 17-25 develop typhoid fevers, from the results of tf positive 4-5 (82.7%) positive ≥6 as many as 26 (173%) of people, and leukocytes scores were found normal by 117 (78%). Spearman's correlation test showed that the value (p)&lt;0,01</w:t>
      </w:r>
      <w:r w:rsidR="00642FF0" w:rsidRPr="00642FF0">
        <w:rPr>
          <w:rFonts w:ascii="Verdana" w:hAnsi="Verdana" w:cs="Times New Roman"/>
          <w:i/>
          <w:iCs/>
          <w:sz w:val="20"/>
          <w:szCs w:val="20"/>
        </w:rPr>
        <w:t>) and the correlation coefficient</w:t>
      </w:r>
      <w:r w:rsidR="00C15BBA" w:rsidRPr="00642FF0">
        <w:rPr>
          <w:rFonts w:ascii="Verdana" w:hAnsi="Verdana" w:cs="Times New Roman"/>
          <w:i/>
          <w:iCs/>
          <w:sz w:val="20"/>
          <w:szCs w:val="20"/>
        </w:rPr>
        <w:t xml:space="preserve"> -0.430 value which indicates its correlation in a moderate category with the negative correlation direction. The conclusion of the study is a correlation in a moderate category between tubex tf's positive rate of leukocytes in the typhoid fever patient in rsucm aceh north.</w:t>
      </w:r>
    </w:p>
    <w:p w14:paraId="39C5165B" w14:textId="43FCF622" w:rsidR="00C15BBA" w:rsidRPr="00642FF0" w:rsidRDefault="00C15BBA" w:rsidP="00C15BBA">
      <w:pPr>
        <w:spacing w:line="240" w:lineRule="auto"/>
        <w:jc w:val="both"/>
        <w:rPr>
          <w:rFonts w:ascii="Verdana" w:hAnsi="Verdana" w:cs="Times New Roman"/>
          <w:i/>
          <w:iCs/>
          <w:sz w:val="20"/>
          <w:szCs w:val="20"/>
        </w:rPr>
      </w:pPr>
      <w:r w:rsidRPr="00642FF0">
        <w:rPr>
          <w:rFonts w:ascii="Verdana" w:hAnsi="Verdana" w:cs="Times New Roman"/>
          <w:b/>
          <w:i/>
          <w:iCs/>
          <w:sz w:val="20"/>
          <w:szCs w:val="20"/>
        </w:rPr>
        <w:t>Keywords</w:t>
      </w:r>
      <w:r w:rsidRPr="00642FF0">
        <w:rPr>
          <w:rFonts w:ascii="Verdana" w:hAnsi="Verdana" w:cs="Times New Roman"/>
          <w:i/>
          <w:iCs/>
          <w:sz w:val="20"/>
          <w:szCs w:val="20"/>
        </w:rPr>
        <w:t>: tf tubex, leukocytes, typhoid fever</w:t>
      </w:r>
    </w:p>
    <w:p w14:paraId="0332966D" w14:textId="6A6B0950" w:rsidR="00C15BBA" w:rsidRPr="007B1862" w:rsidRDefault="00113E9D" w:rsidP="007B1862">
      <w:pPr>
        <w:autoSpaceDE w:val="0"/>
        <w:autoSpaceDN w:val="0"/>
        <w:adjustRightInd w:val="0"/>
        <w:spacing w:after="0" w:line="240" w:lineRule="auto"/>
        <w:jc w:val="both"/>
        <w:rPr>
          <w:rFonts w:ascii="Verdana" w:hAnsi="Verdana" w:cs="Times New Roman"/>
          <w:sz w:val="20"/>
          <w:szCs w:val="20"/>
        </w:rPr>
      </w:pPr>
      <w:r w:rsidRPr="00C15BBA">
        <w:rPr>
          <w:rFonts w:ascii="Verdana" w:hAnsi="Verdana" w:cs="Times New Roman"/>
          <w:b/>
          <w:sz w:val="20"/>
          <w:szCs w:val="20"/>
        </w:rPr>
        <w:t>Abs</w:t>
      </w:r>
      <w:r w:rsidR="00C15BBA" w:rsidRPr="00C15BBA">
        <w:rPr>
          <w:rFonts w:ascii="Verdana" w:hAnsi="Verdana" w:cs="Times New Roman"/>
          <w:b/>
          <w:sz w:val="20"/>
          <w:szCs w:val="20"/>
        </w:rPr>
        <w:t>trak</w:t>
      </w:r>
      <w:r w:rsidR="007B1862">
        <w:rPr>
          <w:rFonts w:ascii="Verdana" w:hAnsi="Verdana" w:cs="Times New Roman"/>
          <w:sz w:val="20"/>
          <w:szCs w:val="20"/>
        </w:rPr>
        <w:t xml:space="preserve">: </w:t>
      </w:r>
      <w:r w:rsidR="007B1862" w:rsidRPr="007B1862">
        <w:rPr>
          <w:rFonts w:ascii="Verdana" w:hAnsi="Verdana" w:cs="Times New Roman"/>
          <w:b/>
          <w:bCs/>
          <w:sz w:val="20"/>
          <w:szCs w:val="20"/>
        </w:rPr>
        <w:t>Tubex Tf Dan Hubungannya</w:t>
      </w:r>
      <w:r w:rsidR="007B1862" w:rsidRPr="007B1862">
        <w:rPr>
          <w:rFonts w:ascii="Verdana" w:hAnsi="Verdana" w:cs="Times New Roman"/>
          <w:sz w:val="20"/>
          <w:szCs w:val="20"/>
        </w:rPr>
        <w:t xml:space="preserve"> </w:t>
      </w:r>
      <w:r w:rsidR="007B1862" w:rsidRPr="007B1862">
        <w:rPr>
          <w:rFonts w:ascii="Verdana" w:hAnsi="Verdana" w:cs="Times New Roman"/>
          <w:b/>
          <w:bCs/>
          <w:sz w:val="20"/>
          <w:szCs w:val="20"/>
        </w:rPr>
        <w:t xml:space="preserve">Dengan Angka </w:t>
      </w:r>
      <w:proofErr w:type="gramStart"/>
      <w:r w:rsidR="007B1862" w:rsidRPr="007B1862">
        <w:rPr>
          <w:rFonts w:ascii="Verdana" w:hAnsi="Verdana" w:cs="Times New Roman"/>
          <w:b/>
          <w:bCs/>
          <w:sz w:val="20"/>
          <w:szCs w:val="20"/>
        </w:rPr>
        <w:t>Leukosit  Pada</w:t>
      </w:r>
      <w:proofErr w:type="gramEnd"/>
      <w:r w:rsidR="007B1862" w:rsidRPr="007B1862">
        <w:rPr>
          <w:rFonts w:ascii="Verdana" w:hAnsi="Verdana" w:cs="Times New Roman"/>
          <w:b/>
          <w:bCs/>
          <w:sz w:val="20"/>
          <w:szCs w:val="20"/>
        </w:rPr>
        <w:t xml:space="preserve"> Penderita Demam Tifoid Di Rumah Sakit Umum Cut Meutia Aceh Utara</w:t>
      </w:r>
      <w:r w:rsidR="007B1862">
        <w:rPr>
          <w:rFonts w:ascii="Verdana" w:hAnsi="Verdana" w:cs="Times New Roman"/>
          <w:sz w:val="20"/>
          <w:szCs w:val="20"/>
        </w:rPr>
        <w:t xml:space="preserve">. </w:t>
      </w:r>
      <w:r w:rsidR="00C15BBA" w:rsidRPr="00C15BBA">
        <w:rPr>
          <w:rFonts w:ascii="Verdana" w:hAnsi="Verdana" w:cs="Times New Roman"/>
          <w:sz w:val="20"/>
          <w:szCs w:val="20"/>
        </w:rPr>
        <w:t xml:space="preserve">Demam tifoid masih merupakan penyakit endemik di Indonesia. Penyakit ini disebabkan oleh infeksi </w:t>
      </w:r>
      <w:r w:rsidR="00C15BBA" w:rsidRPr="00C15BBA">
        <w:rPr>
          <w:rFonts w:ascii="Verdana" w:hAnsi="Verdana" w:cs="Times New Roman"/>
          <w:i/>
          <w:sz w:val="20"/>
          <w:szCs w:val="20"/>
        </w:rPr>
        <w:t>salmonella typhi</w:t>
      </w:r>
      <w:r w:rsidR="00C15BBA" w:rsidRPr="00C15BBA">
        <w:rPr>
          <w:rFonts w:ascii="Verdana" w:hAnsi="Verdana" w:cs="Times New Roman"/>
          <w:sz w:val="20"/>
          <w:szCs w:val="20"/>
        </w:rPr>
        <w:t xml:space="preserve">. Pemeriksaan Tubex TF merupakan salah satu uji serologi untuk mendeteksi demam tifoid akut. Terjadinya infeksi </w:t>
      </w:r>
      <w:r w:rsidR="00C15BBA" w:rsidRPr="00C15BBA">
        <w:rPr>
          <w:rFonts w:ascii="Verdana" w:hAnsi="Verdana" w:cs="Times New Roman"/>
          <w:i/>
          <w:sz w:val="20"/>
          <w:szCs w:val="20"/>
        </w:rPr>
        <w:t>salmonella typhi</w:t>
      </w:r>
      <w:r w:rsidR="00C15BBA" w:rsidRPr="00C15BBA">
        <w:rPr>
          <w:rFonts w:ascii="Verdana" w:hAnsi="Verdana" w:cs="Times New Roman"/>
          <w:sz w:val="20"/>
          <w:szCs w:val="20"/>
        </w:rPr>
        <w:t xml:space="preserve"> pada penderita demam tifoid yang ditandai dengan meningkatnya derajat kepositifan Tubex TF akan mempengaruhi hasil hitung jumlah leukosit. Pada pemeriksaan darah rutin, terdapat gambaran berupa leukopenia, namun dapat pula terjadi jumlah leukosit normal atau leukositosis. Penelitian ini bertujuan untuk mengetahui hubungan derajat kepositifan Tubex TF terhadap angka leukosit pada pasien demam tifoid </w:t>
      </w:r>
      <w:r w:rsidR="00C15BBA" w:rsidRPr="00C15BBA">
        <w:rPr>
          <w:rFonts w:ascii="Verdana" w:hAnsi="Verdana" w:cs="Times New Roman"/>
          <w:bCs/>
          <w:sz w:val="20"/>
          <w:szCs w:val="20"/>
        </w:rPr>
        <w:t xml:space="preserve">di Rumah Sakit Umum Cut Meutia Aceh Utara. Penelitian ini merupakan penelitian observasional analitik dengan pendekatan </w:t>
      </w:r>
      <w:r w:rsidR="00C15BBA" w:rsidRPr="00C15BBA">
        <w:rPr>
          <w:rFonts w:ascii="Verdana" w:hAnsi="Verdana" w:cs="Times New Roman"/>
          <w:bCs/>
          <w:i/>
          <w:sz w:val="20"/>
          <w:szCs w:val="20"/>
        </w:rPr>
        <w:t>cross sectional</w:t>
      </w:r>
      <w:r w:rsidR="00C15BBA" w:rsidRPr="00C15BBA">
        <w:rPr>
          <w:rFonts w:ascii="Verdana" w:hAnsi="Verdana" w:cs="Times New Roman"/>
          <w:bCs/>
          <w:sz w:val="20"/>
          <w:szCs w:val="20"/>
        </w:rPr>
        <w:t xml:space="preserve">. Pengumpulan data dilakukan bulan Desember 2022 melalui hasil rekam medik dengan jumlah sampel sebanyak 150 pasien dengan teknik pengambilan secara </w:t>
      </w:r>
      <w:r w:rsidR="00C15BBA" w:rsidRPr="00C15BBA">
        <w:rPr>
          <w:rFonts w:ascii="Verdana" w:hAnsi="Verdana" w:cs="Times New Roman"/>
          <w:bCs/>
          <w:i/>
          <w:sz w:val="20"/>
          <w:szCs w:val="20"/>
        </w:rPr>
        <w:t>purposive sampling</w:t>
      </w:r>
      <w:r w:rsidR="00C15BBA" w:rsidRPr="00C15BBA">
        <w:rPr>
          <w:rFonts w:ascii="Verdana" w:hAnsi="Verdana" w:cs="Times New Roman"/>
          <w:bCs/>
          <w:sz w:val="20"/>
          <w:szCs w:val="20"/>
        </w:rPr>
        <w:t xml:space="preserve"> yang memenuhi kriteria inklusi dan eksklusi. Hasil penelitian menunjukkan bahwa mayoritas perempuan dan usia 17-25 tahun lebih banyak terkena demam tifoid, dari hasil pemeriksaan Tubex TF positif 4-5 sebanyak 124 (82,7%) dan positif </w:t>
      </w:r>
      <w:r w:rsidR="00C15BBA" w:rsidRPr="00C15BBA">
        <w:rPr>
          <w:rFonts w:ascii="Verdana" w:hAnsi="Verdana" w:cs="Times New Roman"/>
          <w:sz w:val="20"/>
          <w:szCs w:val="20"/>
        </w:rPr>
        <w:t xml:space="preserve">≥6 </w:t>
      </w:r>
      <w:r w:rsidR="00C15BBA" w:rsidRPr="00C15BBA">
        <w:rPr>
          <w:rFonts w:ascii="Verdana" w:hAnsi="Verdana" w:cs="Times New Roman"/>
          <w:bCs/>
          <w:sz w:val="20"/>
          <w:szCs w:val="20"/>
        </w:rPr>
        <w:t xml:space="preserve">sebanyak 26 (17,3%) orang, dan hasil dari angka leukosit ditemukan normal sebanyak 117 (78%) orang. Hasil uji korelasi </w:t>
      </w:r>
      <w:r w:rsidR="00C15BBA" w:rsidRPr="00C15BBA">
        <w:rPr>
          <w:rFonts w:ascii="Verdana" w:hAnsi="Verdana" w:cs="Times New Roman"/>
          <w:bCs/>
          <w:i/>
          <w:sz w:val="20"/>
          <w:szCs w:val="20"/>
        </w:rPr>
        <w:t>spearman</w:t>
      </w:r>
      <w:r w:rsidR="00C15BBA" w:rsidRPr="00C15BBA">
        <w:rPr>
          <w:rFonts w:ascii="Verdana" w:hAnsi="Verdana" w:cs="Times New Roman"/>
          <w:bCs/>
          <w:sz w:val="20"/>
          <w:szCs w:val="20"/>
        </w:rPr>
        <w:t xml:space="preserve"> menunjukkan bahwa nilai (p)&lt;0,01) dan nilai </w:t>
      </w:r>
      <w:r w:rsidR="00C15BBA" w:rsidRPr="00C15BBA">
        <w:rPr>
          <w:rFonts w:ascii="Verdana" w:hAnsi="Verdana" w:cs="Times New Roman"/>
          <w:bCs/>
          <w:i/>
          <w:sz w:val="20"/>
          <w:szCs w:val="20"/>
        </w:rPr>
        <w:t>correlation coefficient</w:t>
      </w:r>
      <w:r w:rsidR="00C15BBA" w:rsidRPr="00C15BBA">
        <w:rPr>
          <w:rFonts w:ascii="Verdana" w:hAnsi="Verdana" w:cs="Times New Roman"/>
          <w:bCs/>
          <w:sz w:val="20"/>
          <w:szCs w:val="20"/>
        </w:rPr>
        <w:t xml:space="preserve"> -0,430 yang menunjukkan keeratan hubungannya dalam kategori sedang dengan arah korelasi negatif. Kesimpulan dari penelitian ini terdapat keeratan hubungan dalam kategori sedang antara derajat kepositifan Tubex TF terhadap angka leukosit pada pasien demam tifoid di RSUCM Aceh Utara.</w:t>
      </w:r>
    </w:p>
    <w:p w14:paraId="46C195C2" w14:textId="77777777" w:rsidR="00C15BBA" w:rsidRPr="00C15BBA" w:rsidRDefault="00C15BBA" w:rsidP="00C15BBA">
      <w:pPr>
        <w:spacing w:line="240" w:lineRule="auto"/>
        <w:ind w:right="-1"/>
        <w:jc w:val="both"/>
        <w:rPr>
          <w:rFonts w:ascii="Verdana" w:hAnsi="Verdana" w:cs="Times New Roman"/>
          <w:bCs/>
          <w:sz w:val="20"/>
          <w:szCs w:val="20"/>
        </w:rPr>
      </w:pPr>
      <w:r w:rsidRPr="00C15BBA">
        <w:rPr>
          <w:rFonts w:ascii="Verdana" w:hAnsi="Verdana" w:cs="Times New Roman"/>
          <w:b/>
          <w:bCs/>
          <w:sz w:val="20"/>
          <w:szCs w:val="20"/>
        </w:rPr>
        <w:t xml:space="preserve">Kata </w:t>
      </w:r>
      <w:proofErr w:type="gramStart"/>
      <w:r w:rsidRPr="00C15BBA">
        <w:rPr>
          <w:rFonts w:ascii="Verdana" w:hAnsi="Verdana" w:cs="Times New Roman"/>
          <w:b/>
          <w:bCs/>
          <w:sz w:val="20"/>
          <w:szCs w:val="20"/>
        </w:rPr>
        <w:t>Kunci</w:t>
      </w:r>
      <w:r w:rsidRPr="00C15BBA">
        <w:rPr>
          <w:rFonts w:ascii="Verdana" w:hAnsi="Verdana" w:cs="Times New Roman"/>
          <w:bCs/>
          <w:sz w:val="20"/>
          <w:szCs w:val="20"/>
        </w:rPr>
        <w:t xml:space="preserve"> :</w:t>
      </w:r>
      <w:proofErr w:type="gramEnd"/>
      <w:r w:rsidRPr="00C15BBA">
        <w:rPr>
          <w:rFonts w:ascii="Verdana" w:hAnsi="Verdana" w:cs="Times New Roman"/>
          <w:bCs/>
          <w:sz w:val="20"/>
          <w:szCs w:val="20"/>
        </w:rPr>
        <w:t xml:space="preserve"> tubex TF, angka leukosit, demam tifoid</w:t>
      </w:r>
    </w:p>
    <w:p w14:paraId="3EC63FBD" w14:textId="1CA63B6A" w:rsidR="00113E9D" w:rsidRPr="00C15BBA" w:rsidRDefault="00113E9D" w:rsidP="00C15BBA">
      <w:pPr>
        <w:autoSpaceDE w:val="0"/>
        <w:autoSpaceDN w:val="0"/>
        <w:adjustRightInd w:val="0"/>
        <w:spacing w:line="240" w:lineRule="auto"/>
        <w:jc w:val="both"/>
        <w:rPr>
          <w:rFonts w:ascii="Verdana" w:hAnsi="Verdana" w:cs="Times New Roman"/>
          <w:b/>
          <w:sz w:val="20"/>
          <w:szCs w:val="20"/>
        </w:rPr>
      </w:pPr>
    </w:p>
    <w:p w14:paraId="5FAB4940" w14:textId="77777777" w:rsidR="00C3492A" w:rsidRDefault="00C3492A" w:rsidP="00FA4992">
      <w:pPr>
        <w:autoSpaceDE w:val="0"/>
        <w:autoSpaceDN w:val="0"/>
        <w:adjustRightInd w:val="0"/>
        <w:spacing w:after="0" w:line="360" w:lineRule="auto"/>
        <w:jc w:val="both"/>
        <w:rPr>
          <w:rFonts w:ascii="Verdana" w:hAnsi="Verdana" w:cs="Times New Roman"/>
          <w:b/>
          <w:sz w:val="20"/>
          <w:szCs w:val="20"/>
        </w:rPr>
        <w:sectPr w:rsidR="00C3492A" w:rsidSect="00C600C3">
          <w:footerReference w:type="default" r:id="rId10"/>
          <w:pgSz w:w="11907" w:h="16839" w:code="9"/>
          <w:pgMar w:top="1418" w:right="1418" w:bottom="1418" w:left="1418" w:header="720" w:footer="720" w:gutter="0"/>
          <w:cols w:space="720"/>
          <w:docGrid w:linePitch="360"/>
        </w:sectPr>
      </w:pPr>
    </w:p>
    <w:p w14:paraId="568808E8" w14:textId="7700402F" w:rsidR="00113E9D" w:rsidRPr="00C15BBA" w:rsidRDefault="00113E9D" w:rsidP="00FA4992">
      <w:pPr>
        <w:autoSpaceDE w:val="0"/>
        <w:autoSpaceDN w:val="0"/>
        <w:adjustRightInd w:val="0"/>
        <w:spacing w:after="0" w:line="360" w:lineRule="auto"/>
        <w:jc w:val="both"/>
        <w:rPr>
          <w:rFonts w:ascii="Verdana" w:hAnsi="Verdana" w:cs="Times New Roman"/>
          <w:sz w:val="20"/>
          <w:szCs w:val="20"/>
        </w:rPr>
      </w:pPr>
      <w:r w:rsidRPr="00C15BBA">
        <w:rPr>
          <w:rFonts w:ascii="Verdana" w:hAnsi="Verdana" w:cs="Times New Roman"/>
          <w:b/>
          <w:sz w:val="20"/>
          <w:szCs w:val="20"/>
        </w:rPr>
        <w:lastRenderedPageBreak/>
        <w:t>PENDAHULUAN</w:t>
      </w:r>
      <w:r w:rsidRPr="00C15BBA">
        <w:rPr>
          <w:rFonts w:ascii="Verdana" w:hAnsi="Verdana" w:cs="Times New Roman"/>
          <w:sz w:val="20"/>
          <w:szCs w:val="20"/>
        </w:rPr>
        <w:t xml:space="preserve"> </w:t>
      </w:r>
    </w:p>
    <w:p w14:paraId="2A3C386E" w14:textId="59BEE5E8" w:rsidR="00C80461" w:rsidRPr="00C15BBA" w:rsidRDefault="00C80461" w:rsidP="00FA4992">
      <w:pPr>
        <w:tabs>
          <w:tab w:val="left" w:pos="6660"/>
        </w:tabs>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Demam tifoid merupakan infeksi akut pada usus halus dengan gejala demam lebih dari satu minggu, mengakibatkan gangguan pencernaan dan dapat menurunkan tingkat kesadaran. Demam tifoid adalah penyakit infeksi sistemik yang disebabkan oleh bakteri </w:t>
      </w:r>
      <w:r w:rsidRPr="00C15BBA">
        <w:rPr>
          <w:rFonts w:ascii="Verdana" w:hAnsi="Verdana" w:cs="Times New Roman"/>
          <w:i/>
          <w:sz w:val="20"/>
          <w:szCs w:val="20"/>
        </w:rPr>
        <w:t xml:space="preserve">Salmonella Typhi, </w:t>
      </w:r>
      <w:r w:rsidRPr="00C15BBA">
        <w:rPr>
          <w:rFonts w:ascii="Verdana" w:hAnsi="Verdana" w:cs="Times New Roman"/>
          <w:sz w:val="20"/>
          <w:szCs w:val="20"/>
        </w:rPr>
        <w:t>biasanya disebabkan oleh makanan atau air yang terkontaminasi. Penyakit ini bersifat endemik dan banyak ditemukan di negera-negara berkembang. Penyakit ini juga mudah menular dan dapat menyerang semua orang sehingga dapat menimbulkan wabah dan penyakit ini disebut juga sebagai penyakit menular</w:t>
      </w:r>
      <w:r w:rsidR="00310782" w:rsidRPr="00C15BBA">
        <w:rPr>
          <w:rFonts w:ascii="Verdana" w:hAnsi="Verdana" w:cs="Times New Roman"/>
          <w:sz w:val="20"/>
          <w:szCs w:val="20"/>
        </w:rPr>
        <w:t xml:space="preserve"> </w:t>
      </w:r>
      <w:r w:rsidR="00310782" w:rsidRPr="00C15BBA">
        <w:rPr>
          <w:rStyle w:val="FootnoteReference"/>
          <w:rFonts w:ascii="Verdana" w:hAnsi="Verdana" w:cs="Times New Roman"/>
          <w:color w:val="000000" w:themeColor="text1"/>
          <w:sz w:val="20"/>
          <w:szCs w:val="20"/>
        </w:rPr>
        <w:fldChar w:fldCharType="begin" w:fldLock="1"/>
      </w:r>
      <w:r w:rsidR="00310782" w:rsidRPr="00C15BBA">
        <w:rPr>
          <w:rFonts w:ascii="Verdana" w:hAnsi="Verdana" w:cs="Times New Roman"/>
          <w:color w:val="000000" w:themeColor="text1"/>
          <w:sz w:val="20"/>
          <w:szCs w:val="20"/>
        </w:rPr>
        <w:instrText>ADDIN CSL_CITATION {"citationItems":[{"id":"ITEM-1","itemData":{"ISBN":"978-602-8907-49-1 Jilid 1","author":[{"dropping-particle":"","family":"Widodo","given":"Djoko","non-dropping-particle":"","parse-names":false,"suffix":""}],"edition":"Edisi VI","editor":[{"dropping-particle":"","family":"Setiati","given":"Siti","non-dropping-particle":"","parse-names":false,"suffix":""}],"id":"ITEM-1","issued":{"date-parts":[["2014"]]},"number-of-pages":"549-558","publisher":"InternalPublishing","publisher-place":"Jakarta Pusat","title":"Demam Tifoid, Buku Ajar Ilmu Penyakit Dalam","type":"book"},"uris":["http://www.mendeley.com/documents/?uuid=da97cf59-da39-429f-84fc-291efa55d3d9","http://www.mendeley.com/documents/?uuid=fc38ba2f-d038-40c4-9b29-f57c6bdd1ae3"]}],"mendeley":{"formattedCitation":"(Widodo, 2014)","plainTextFormattedCitation":"(Widodo, 2014)","previouslyFormattedCitation":"(1)"},"properties":{"noteIndex":0},"schema":"https://github.com/citation-style-language/schema/raw/master/csl-citation.json"}</w:instrText>
      </w:r>
      <w:r w:rsidR="00310782" w:rsidRPr="00C15BBA">
        <w:rPr>
          <w:rStyle w:val="FootnoteReference"/>
          <w:rFonts w:ascii="Verdana" w:hAnsi="Verdana" w:cs="Times New Roman"/>
          <w:color w:val="000000" w:themeColor="text1"/>
          <w:sz w:val="20"/>
          <w:szCs w:val="20"/>
        </w:rPr>
        <w:fldChar w:fldCharType="separate"/>
      </w:r>
      <w:r w:rsidR="00310782" w:rsidRPr="00C15BBA">
        <w:rPr>
          <w:rFonts w:ascii="Verdana" w:hAnsi="Verdana" w:cs="Times New Roman"/>
          <w:noProof/>
          <w:color w:val="000000" w:themeColor="text1"/>
          <w:sz w:val="20"/>
          <w:szCs w:val="20"/>
        </w:rPr>
        <w:t>(Widodo, 2014)</w:t>
      </w:r>
      <w:r w:rsidR="00310782" w:rsidRPr="00C15BBA">
        <w:rPr>
          <w:rStyle w:val="FootnoteReference"/>
          <w:rFonts w:ascii="Verdana" w:hAnsi="Verdana" w:cs="Times New Roman"/>
          <w:color w:val="000000" w:themeColor="text1"/>
          <w:sz w:val="20"/>
          <w:szCs w:val="20"/>
        </w:rPr>
        <w:fldChar w:fldCharType="end"/>
      </w:r>
      <w:r w:rsidRPr="00C15BBA">
        <w:rPr>
          <w:rFonts w:ascii="Verdana" w:hAnsi="Verdana" w:cs="Times New Roman"/>
          <w:sz w:val="20"/>
          <w:szCs w:val="20"/>
        </w:rPr>
        <w:t>.</w:t>
      </w:r>
    </w:p>
    <w:p w14:paraId="60EF607B" w14:textId="7D3704F3" w:rsidR="00C80461" w:rsidRPr="00C15BBA" w:rsidRDefault="00C80461" w:rsidP="00FA4992">
      <w:pPr>
        <w:tabs>
          <w:tab w:val="left" w:pos="6660"/>
        </w:tabs>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Data dari </w:t>
      </w:r>
      <w:r w:rsidRPr="00C15BBA">
        <w:rPr>
          <w:rFonts w:ascii="Verdana" w:hAnsi="Verdana" w:cs="Times New Roman"/>
          <w:i/>
          <w:sz w:val="20"/>
          <w:szCs w:val="20"/>
        </w:rPr>
        <w:t>World Health Organization</w:t>
      </w:r>
      <w:r w:rsidRPr="00C15BBA">
        <w:rPr>
          <w:rFonts w:ascii="Verdana" w:hAnsi="Verdana" w:cs="Times New Roman"/>
          <w:sz w:val="20"/>
          <w:szCs w:val="20"/>
        </w:rPr>
        <w:t xml:space="preserve"> (WHO, 2019) juga memperkirakan sekitar 11 hingga 21 juta kasus dan 128.000 hingga 161.000 kematian terkait tifoid terjadi setiap tahun di seluruh dunia. Di Indonesia, demam tifoid bersifat endemik serta banyak ditemukan di kota besar. Insiden demam tifoid di Indonesia berkisar 350-810 per 100.000 penduduk, prevalensi penyakit ini di Indonesia sebesar 1,6% dan menduduki urutan ke-5 penyakit menular yang terjadi pada semua umur di Indonesia, yaitu sebesar 6,0% serta menduduki urutan ke-15 dalam penyebab kematian semua umur di Indonesia, yaitu sebesar 1,6%. Sebagian kasus demam tifoid terjadi pada rentang usia 3 – 19 tahun </w:t>
      </w:r>
      <w:r w:rsidR="00310782" w:rsidRPr="00C15BBA">
        <w:rPr>
          <w:rFonts w:ascii="Verdana" w:hAnsi="Verdana" w:cs="Times New Roman"/>
          <w:sz w:val="20"/>
          <w:szCs w:val="20"/>
        </w:rPr>
        <w:fldChar w:fldCharType="begin" w:fldLock="1"/>
      </w:r>
      <w:r w:rsidR="00310782" w:rsidRPr="00C15BBA">
        <w:rPr>
          <w:rFonts w:ascii="Verdana" w:hAnsi="Verdana" w:cs="Times New Roman"/>
          <w:sz w:val="20"/>
          <w:szCs w:val="20"/>
        </w:rPr>
        <w:instrText>ADDIN CSL_CITATION {"citationItems":[{"id":"ITEM-1","itemData":{"abstract":"Demam tifoid merupakan penyakit infeksi sistemik dengan ciri penderita mengalami demam karena penyebaran bakteri Salmonella. Sanitasi dan higiene yang tidak layak merupakan faktor risiko terjadinya demam tifoid. Leukopenia dan limfositosis relatif menjadi dugaan kuat seseorang menderita demam tifoid, diduga keduanya dapat memengaruhi tingkat demam pasien demam tifoid. Penelitian dilakukan untuk mengetahui hubungan jumlah leukosit dan persentase limfosit terhadap tingkat demam pada pasien anak dengan demam tifoid di RSUD Budhi Asih. Jenis penelitian ini adalah analitik observasional menggunakan pendekatan potong lintang dengan jumlah sampel 42 pasien anak usia 8-14 tahun, sampel penelitian berupa data rekam medis dengan teknik pengambilan sampel berupa purposive sampling. Rentang usia anak dengan demam tifoid terbanyak pada usia 8 – 10 tahun 7 bulan (57,1%). Berdasarkan jenis kelamin, prevalensi tertinggi terjadi pada wanita (61,9%). Hasil penelitian menunjukkan bahwa sampel dengan jumlah leukosit normal, memiliki tingkat demam ringan (93,3%) dan sampel dengan persentase limfosit normal, memiliki tingkat demam ringan (71,4%). Berdasarkan hasil analisis bivariat dengan uji Chi-Square ditemukan hubungan yang signifikan antara jumlah leukosit (p=0,004) terhadap tingkat demam pada pasien anak dengan demam tifoid, sedangkan tidak terdapat hubungan yang signifikan antara persentase limfosit (p=0,277) terhadap tingkat demam pada pasien anak dengan demam tifoid.","author":[{"dropping-particle":"","family":"Khairunnisa","given":"S","non-dropping-particle":"","parse-names":false,"suffix":""},{"dropping-particle":"","family":"Hidayat","given":"E M","non-dropping-particle":"","parse-names":false,"suffix":""},{"dropping-particle":"","family":"Herardi","given":"R","non-dropping-particle":"","parse-names":false,"suffix":""}],"container-title":"Seminar Nasional Riset Kedokteran (SENSORIK)","id":"ITEM-1","issued":{"date-parts":[["2020"]]},"page":"60-69","title":"Hubungan Jumlah Leukosit dan Persentase Limfosit terhadap Tingkat Demam pada Pasien Anak dengan Demam Tifoid di RSUD Budhi Asih Tahun 2018 – Oktober 2019","type":"article-journal"},"uris":["http://www.mendeley.com/documents/?uuid=9901192a-d528-4a52-824d-6bc1aeb03ef1","http://www.mendeley.com/documents/?uuid=58a84dbe-6544-4ab3-aa8a-590a116cc481"]}],"mendeley":{"formattedCitation":"(Khairunnisa et al., 2020)","plainTextFormattedCitation":"(Khairunnisa et al., 2020)","previouslyFormattedCitation":"(3)"},"properties":{"noteIndex":0},"schema":"https://github.com/citation-style-language/schema/raw/master/csl-citation.json"}</w:instrText>
      </w:r>
      <w:r w:rsidR="00310782" w:rsidRPr="00C15BBA">
        <w:rPr>
          <w:rFonts w:ascii="Verdana" w:hAnsi="Verdana" w:cs="Times New Roman"/>
          <w:sz w:val="20"/>
          <w:szCs w:val="20"/>
        </w:rPr>
        <w:fldChar w:fldCharType="separate"/>
      </w:r>
      <w:r w:rsidR="00310782" w:rsidRPr="00C15BBA">
        <w:rPr>
          <w:rFonts w:ascii="Verdana" w:hAnsi="Verdana" w:cs="Times New Roman"/>
          <w:noProof/>
          <w:sz w:val="20"/>
          <w:szCs w:val="20"/>
        </w:rPr>
        <w:t>(Khairunnisa et al., 2020)</w:t>
      </w:r>
      <w:r w:rsidR="00310782" w:rsidRPr="00C15BBA">
        <w:rPr>
          <w:rFonts w:ascii="Verdana" w:hAnsi="Verdana" w:cs="Times New Roman"/>
          <w:sz w:val="20"/>
          <w:szCs w:val="20"/>
        </w:rPr>
        <w:fldChar w:fldCharType="end"/>
      </w:r>
      <w:r w:rsidR="00310782" w:rsidRPr="00C15BBA">
        <w:rPr>
          <w:rFonts w:ascii="Verdana" w:hAnsi="Verdana" w:cs="Times New Roman"/>
          <w:sz w:val="20"/>
          <w:szCs w:val="20"/>
        </w:rPr>
        <w:t>.</w:t>
      </w:r>
    </w:p>
    <w:p w14:paraId="7A394474" w14:textId="7701C3AC" w:rsidR="00797CA3" w:rsidRPr="00C15BBA" w:rsidRDefault="00797CA3" w:rsidP="00FA4992">
      <w:pPr>
        <w:spacing w:after="0" w:line="240" w:lineRule="auto"/>
        <w:ind w:firstLine="567"/>
        <w:jc w:val="both"/>
        <w:rPr>
          <w:rFonts w:ascii="Verdana" w:hAnsi="Verdana" w:cs="Times New Roman"/>
          <w:sz w:val="20"/>
          <w:szCs w:val="20"/>
          <w:lang w:val="id-ID"/>
        </w:rPr>
      </w:pPr>
      <w:r w:rsidRPr="00C15BBA">
        <w:rPr>
          <w:rFonts w:ascii="Verdana" w:hAnsi="Verdana" w:cs="Times New Roman"/>
          <w:sz w:val="20"/>
          <w:szCs w:val="20"/>
        </w:rPr>
        <w:t>Prevalensi nasional untuk demam tifoid (berdasarkan diagnosis tenaga kesehatan) adalah 1</w:t>
      </w:r>
      <w:proofErr w:type="gramStart"/>
      <w:r w:rsidRPr="00C15BBA">
        <w:rPr>
          <w:rFonts w:ascii="Verdana" w:hAnsi="Verdana" w:cs="Times New Roman"/>
          <w:sz w:val="20"/>
          <w:szCs w:val="20"/>
        </w:rPr>
        <w:t>,60</w:t>
      </w:r>
      <w:proofErr w:type="gramEnd"/>
      <w:r w:rsidRPr="00C15BBA">
        <w:rPr>
          <w:rFonts w:ascii="Verdana" w:hAnsi="Verdana" w:cs="Times New Roman"/>
          <w:sz w:val="20"/>
          <w:szCs w:val="20"/>
        </w:rPr>
        <w:t xml:space="preserve">%. Sebanyak 14 provinsi mempunyai prevalensi demam tifoid di atas prevalensi nasional yaitu Nanggroe Aceh Darussalam (2,96%), Bengkulu (1,60%), Jawa Barat (2,14%), Jawa Tengah (1,61%), Banten (2,24%), NTB (1,93%), NTT (2,23%), Kalimantan Selatan (1,95%), Kalimantan Timur (1,80%), Sulawesi Selatan (1,80%), Sulawesi Tengah (1,65%), Gorontalo (2,25%), Papua Barat (2,39%), dan Papua (2,11%) </w:t>
      </w:r>
      <w:r w:rsidR="00310782" w:rsidRPr="00C15BBA">
        <w:rPr>
          <w:rFonts w:ascii="Verdana" w:hAnsi="Verdana" w:cs="Times New Roman"/>
          <w:sz w:val="20"/>
          <w:szCs w:val="20"/>
        </w:rPr>
        <w:fldChar w:fldCharType="begin" w:fldLock="1"/>
      </w:r>
      <w:r w:rsidR="00310782" w:rsidRPr="00C15BBA">
        <w:rPr>
          <w:rFonts w:ascii="Verdana" w:hAnsi="Verdana" w:cs="Times New Roman"/>
          <w:sz w:val="20"/>
          <w:szCs w:val="20"/>
        </w:rPr>
        <w:instrText>ADDIN CSL_CITATION {"citationItems":[{"id":"ITEM-1","itemData":{"DOI":"https://doi.org/I Desember 2013","container-title":"Laporan Nasional 2013","id":"ITEM-1","issued":{"date-parts":[["0"]]},"page":"1-384","title":"Badan Penelitian dan Pengembangan Kesehatan. (2013). Riset Kesehatan Dasar (RISKEDAS) 2013.","type":"article-journal"},"uris":["http://www.mendeley.com/documents/?uuid=66e56552-09ac-436e-add8-2299ed0cdc45","http://www.mendeley.com/documents/?uuid=61cd9446-ffe5-40f4-b213-11d273caad44"]}],"mendeley":{"formattedCitation":"(“Badan Penelitian Dan Pengembangan Kesehatan. (2013). Riset Kesehatan Dasar (RISKEDAS) 2013.,” n.d.)","plainTextFormattedCitation":"(“Badan Penelitian Dan Pengembangan Kesehatan. (2013). Riset Kesehatan Dasar (RISKEDAS) 2013.,” n.d.)","previouslyFormattedCitation":"(4)"},"properties":{"noteIndex":0},"schema":"https://github.com/citation-style-language/schema/raw/master/csl-citation.json"}</w:instrText>
      </w:r>
      <w:r w:rsidR="00310782" w:rsidRPr="00C15BBA">
        <w:rPr>
          <w:rFonts w:ascii="Verdana" w:hAnsi="Verdana" w:cs="Times New Roman"/>
          <w:sz w:val="20"/>
          <w:szCs w:val="20"/>
        </w:rPr>
        <w:fldChar w:fldCharType="separate"/>
      </w:r>
      <w:r w:rsidR="00310782" w:rsidRPr="00C15BBA">
        <w:rPr>
          <w:rFonts w:ascii="Verdana" w:hAnsi="Verdana" w:cs="Times New Roman"/>
          <w:noProof/>
          <w:sz w:val="20"/>
          <w:szCs w:val="20"/>
        </w:rPr>
        <w:t xml:space="preserve">(“Badan Penelitian Dan Pengembangan Kesehatan. (2013). Riset </w:t>
      </w:r>
      <w:r w:rsidR="00310782" w:rsidRPr="00C15BBA">
        <w:rPr>
          <w:rFonts w:ascii="Verdana" w:hAnsi="Verdana" w:cs="Times New Roman"/>
          <w:noProof/>
          <w:sz w:val="20"/>
          <w:szCs w:val="20"/>
        </w:rPr>
        <w:lastRenderedPageBreak/>
        <w:t>Kesehatan Dasar (RISKEDAS) 2013.,” n.d.)</w:t>
      </w:r>
      <w:r w:rsidR="00310782" w:rsidRPr="00C15BBA">
        <w:rPr>
          <w:rFonts w:ascii="Verdana" w:hAnsi="Verdana" w:cs="Times New Roman"/>
          <w:sz w:val="20"/>
          <w:szCs w:val="20"/>
        </w:rPr>
        <w:fldChar w:fldCharType="end"/>
      </w:r>
      <w:r w:rsidRPr="00C15BBA">
        <w:rPr>
          <w:rFonts w:ascii="Verdana" w:hAnsi="Verdana" w:cs="Times New Roman"/>
          <w:sz w:val="20"/>
          <w:szCs w:val="20"/>
        </w:rPr>
        <w:t>.</w:t>
      </w:r>
    </w:p>
    <w:p w14:paraId="4DE5F4BA" w14:textId="3942EFA9" w:rsidR="00797CA3" w:rsidRPr="00C15BBA" w:rsidRDefault="00797CA3" w:rsidP="00FA4992">
      <w:pPr>
        <w:tabs>
          <w:tab w:val="left" w:pos="6660"/>
        </w:tabs>
        <w:spacing w:after="0" w:line="240" w:lineRule="auto"/>
        <w:ind w:firstLine="720"/>
        <w:jc w:val="both"/>
        <w:rPr>
          <w:rFonts w:ascii="Verdana" w:hAnsi="Verdana" w:cs="Times New Roman"/>
          <w:color w:val="000000" w:themeColor="text1"/>
          <w:sz w:val="20"/>
          <w:szCs w:val="20"/>
        </w:rPr>
      </w:pPr>
      <w:r w:rsidRPr="00C15BBA">
        <w:rPr>
          <w:rFonts w:ascii="Verdana" w:hAnsi="Verdana" w:cs="Times New Roman"/>
          <w:color w:val="000000" w:themeColor="text1"/>
          <w:sz w:val="20"/>
          <w:szCs w:val="20"/>
        </w:rPr>
        <w:t>Data Riset Kesehatan Dasar (RISKESDAS) Provinsi Aceh tahun 2012, prevalensi kejadian tifoid di Provinsi Aceh adalah 6,3%. Dimana daerah dengan prevalensi tifoid tertinggi yaitu sekitar 0,7% berada di Aceh Utara (</w:t>
      </w:r>
      <w:r w:rsidR="00AD121F" w:rsidRPr="00C15BBA">
        <w:rPr>
          <w:rFonts w:ascii="Verdana" w:hAnsi="Verdana" w:cs="Times New Roman"/>
          <w:color w:val="000000" w:themeColor="text1"/>
          <w:sz w:val="20"/>
          <w:szCs w:val="20"/>
        </w:rPr>
        <w:t>Fonna, et. al., 2019</w:t>
      </w:r>
      <w:r w:rsidRPr="00C15BBA">
        <w:rPr>
          <w:rFonts w:ascii="Verdana" w:hAnsi="Verdana" w:cs="Times New Roman"/>
          <w:color w:val="000000" w:themeColor="text1"/>
          <w:sz w:val="20"/>
          <w:szCs w:val="20"/>
        </w:rPr>
        <w:t>).</w:t>
      </w:r>
    </w:p>
    <w:p w14:paraId="5AEF8A92" w14:textId="5E3DE6FC" w:rsidR="00797CA3" w:rsidRPr="00C15BBA" w:rsidRDefault="00797CA3" w:rsidP="00FA4992">
      <w:pPr>
        <w:spacing w:after="0" w:line="240" w:lineRule="auto"/>
        <w:ind w:firstLine="567"/>
        <w:jc w:val="both"/>
        <w:rPr>
          <w:rFonts w:ascii="Verdana" w:hAnsi="Verdana" w:cs="Times New Roman"/>
          <w:sz w:val="20"/>
          <w:szCs w:val="20"/>
          <w:lang w:val="id-ID"/>
        </w:rPr>
      </w:pPr>
      <w:r w:rsidRPr="00C15BBA">
        <w:rPr>
          <w:rFonts w:ascii="Verdana" w:hAnsi="Verdana" w:cs="Times New Roman"/>
          <w:sz w:val="20"/>
          <w:szCs w:val="20"/>
        </w:rPr>
        <w:t xml:space="preserve">Tes Tubex merupakan salah satu dari uji serologi yang menguji aglutinasi kompetitif semikuantitatif untuk mendeteksi adanya antibodi IgM terhadap antigen lipopolisakarida (LPS) O-9 </w:t>
      </w:r>
      <w:r w:rsidRPr="00C15BBA">
        <w:rPr>
          <w:rFonts w:ascii="Verdana" w:hAnsi="Verdana" w:cs="Times New Roman"/>
          <w:i/>
          <w:sz w:val="20"/>
          <w:szCs w:val="20"/>
        </w:rPr>
        <w:t>Salmonella typhi</w:t>
      </w:r>
      <w:r w:rsidRPr="00C15BBA">
        <w:rPr>
          <w:rFonts w:ascii="Verdana" w:hAnsi="Verdana" w:cs="Times New Roman"/>
          <w:sz w:val="20"/>
          <w:szCs w:val="20"/>
        </w:rPr>
        <w:t xml:space="preserve">, dan tidak mendeteksi IgG. Tubex merupakan suatu rapid test in vitro dengan metode </w:t>
      </w:r>
      <w:r w:rsidRPr="00C15BBA">
        <w:rPr>
          <w:rFonts w:ascii="Verdana" w:hAnsi="Verdana" w:cs="Times New Roman"/>
          <w:i/>
          <w:sz w:val="20"/>
          <w:szCs w:val="20"/>
        </w:rPr>
        <w:t xml:space="preserve">inhibition magnetic binding immunoasay </w:t>
      </w:r>
      <w:r w:rsidRPr="00C15BBA">
        <w:rPr>
          <w:rFonts w:ascii="Verdana" w:hAnsi="Verdana" w:cs="Times New Roman"/>
          <w:sz w:val="20"/>
          <w:szCs w:val="20"/>
        </w:rPr>
        <w:t xml:space="preserve">(IMBI) yang dapat mendeteksi IgM yang spesifik terhadap antigen O9 </w:t>
      </w:r>
      <w:r w:rsidRPr="00C15BBA">
        <w:rPr>
          <w:rFonts w:ascii="Verdana" w:hAnsi="Verdana" w:cs="Times New Roman"/>
          <w:i/>
          <w:sz w:val="20"/>
          <w:szCs w:val="20"/>
        </w:rPr>
        <w:t>Salmonella Enterica Serovar Typhi</w:t>
      </w:r>
      <w:r w:rsidRPr="00C15BBA">
        <w:rPr>
          <w:rFonts w:ascii="Verdana" w:hAnsi="Verdana" w:cs="Times New Roman"/>
          <w:sz w:val="20"/>
          <w:szCs w:val="20"/>
        </w:rPr>
        <w:t xml:space="preserve"> yang terdapat dalam serum penderita. Interpretasi dari hasil pemeriksaan ini bersifat semi-kuantitatif yaitu dengan membandingkan warna yang timbul pada hasil reaksi pemeriksaan dengan warna standar yang memiliki skor yang terdapat pada kit Tubex </w:t>
      </w:r>
      <w:r w:rsidR="007A2FBD" w:rsidRPr="00C15BBA">
        <w:rPr>
          <w:rFonts w:ascii="Verdana" w:hAnsi="Verdana" w:cs="Times New Roman"/>
          <w:sz w:val="20"/>
          <w:szCs w:val="20"/>
        </w:rPr>
        <w:fldChar w:fldCharType="begin" w:fldLock="1"/>
      </w:r>
      <w:r w:rsidR="007A2FBD" w:rsidRPr="00C15BBA">
        <w:rPr>
          <w:rFonts w:ascii="Verdana" w:hAnsi="Verdana" w:cs="Times New Roman"/>
          <w:sz w:val="20"/>
          <w:szCs w:val="20"/>
        </w:rPr>
        <w:instrText>ADDIN CSL_CITATION {"citationItems":[{"id":"ITEM-1","itemData":{"ISBN":"1962110419","ISSN":"09638695","PMID":"3823129","abstract":"The most commonly used equivalent circuit for transformers is the traditional (Steinmetz) T-equivalent proposed toward the end of the 19th century. This model has two leakage impedance branches and one magnetizing branch. The T model properly represents the terminal behavior of the transformer for most low-frequency operating conditions. Another model derived from the principle of duality between magnetic and electric circuits exists, the \\pi equivalent circuit, which has two magnetizing branches and one leakage branch. This paper shows that while the two equivalent circuits provide the same accuracy in steady state, better accuracy for the calculation of inrush currents is obtained with the \\pi -equivalent circuit. Laboratory tests performed on three transformers with different characteristics demonstrate that inrush current simulations with the T equivalent circuit can have errors up to 73%, while the \\pi equivalent estimates the measurements in every case within a few percent. © 1986-2012 IEEE.","author":[{"dropping-particle":"","family":"Samsudin","given":"Crusita Maharani","non-dropping-particle":"","parse-names":false,"suffix":""}],"id":"ITEM-1","issue":"1","issued":{"date-parts":[["2020"]]},"number-of-pages":"1-12","title":"Gambaran Hasil Pemeriksaan Tubex Pada Pasien Demam Tifoid","type":"book","volume":"68"},"uris":["http://www.mendeley.com/documents/?uuid=669ca97d-ea24-469d-b2f0-23bebfcaa665","http://www.mendeley.com/documents/?uuid=6a8cb3de-6b4a-46ee-92f0-427e77bf9b81"]}],"mendeley":{"formattedCitation":"(Samsudin, 2020)","plainTextFormattedCitation":"(Samsudin, 2020)","previouslyFormattedCitation":"(9)"},"properties":{"noteIndex":0},"schema":"https://github.com/citation-style-language/schema/raw/master/csl-citation.json"}</w:instrText>
      </w:r>
      <w:r w:rsidR="007A2FBD" w:rsidRPr="00C15BBA">
        <w:rPr>
          <w:rFonts w:ascii="Verdana" w:hAnsi="Verdana" w:cs="Times New Roman"/>
          <w:sz w:val="20"/>
          <w:szCs w:val="20"/>
        </w:rPr>
        <w:fldChar w:fldCharType="separate"/>
      </w:r>
      <w:r w:rsidR="007A2FBD" w:rsidRPr="00C15BBA">
        <w:rPr>
          <w:rFonts w:ascii="Verdana" w:hAnsi="Verdana" w:cs="Times New Roman"/>
          <w:noProof/>
          <w:sz w:val="20"/>
          <w:szCs w:val="20"/>
        </w:rPr>
        <w:t>(Samsudin, 2020)</w:t>
      </w:r>
      <w:r w:rsidR="007A2FBD" w:rsidRPr="00C15BBA">
        <w:rPr>
          <w:rFonts w:ascii="Verdana" w:hAnsi="Verdana" w:cs="Times New Roman"/>
          <w:sz w:val="20"/>
          <w:szCs w:val="20"/>
        </w:rPr>
        <w:fldChar w:fldCharType="end"/>
      </w:r>
      <w:r w:rsidR="007A2FBD" w:rsidRPr="00C15BBA">
        <w:rPr>
          <w:rFonts w:ascii="Verdana" w:hAnsi="Verdana" w:cs="Times New Roman"/>
          <w:sz w:val="20"/>
          <w:szCs w:val="20"/>
        </w:rPr>
        <w:t>.</w:t>
      </w:r>
    </w:p>
    <w:p w14:paraId="3D0D2761" w14:textId="0E75731C" w:rsidR="00797CA3" w:rsidRPr="00C15BBA" w:rsidRDefault="00797CA3" w:rsidP="00FA4992">
      <w:pPr>
        <w:spacing w:after="0" w:line="240" w:lineRule="auto"/>
        <w:ind w:firstLine="567"/>
        <w:jc w:val="both"/>
        <w:rPr>
          <w:rFonts w:ascii="Verdana" w:hAnsi="Verdana" w:cs="Times New Roman"/>
          <w:color w:val="000000" w:themeColor="text1"/>
          <w:sz w:val="20"/>
          <w:szCs w:val="20"/>
        </w:rPr>
      </w:pPr>
      <w:r w:rsidRPr="00C15BBA">
        <w:rPr>
          <w:rFonts w:ascii="Verdana" w:hAnsi="Verdana" w:cs="Times New Roman"/>
          <w:color w:val="000000" w:themeColor="text1"/>
          <w:sz w:val="20"/>
          <w:szCs w:val="20"/>
        </w:rPr>
        <w:t>Pada penelitian Heni Oktaviani pada tahun 2019 yang dilakukan penelitian di RSUD Budhi Ashi di Jakarta didapatkan hasil bahwa terdapat hubungan antara pemeriksaan Tubex TF dengan jumlah leukosit pada penderita demam tifoid</w:t>
      </w:r>
      <w:r w:rsidR="007A2FBD" w:rsidRPr="00C15BBA">
        <w:rPr>
          <w:rFonts w:ascii="Verdana" w:hAnsi="Verdana" w:cs="Times New Roman"/>
          <w:color w:val="000000" w:themeColor="text1"/>
          <w:sz w:val="20"/>
          <w:szCs w:val="20"/>
        </w:rPr>
        <w:t xml:space="preserve"> </w:t>
      </w:r>
      <w:r w:rsidR="007A2FBD" w:rsidRPr="00C15BBA">
        <w:rPr>
          <w:rFonts w:ascii="Verdana" w:hAnsi="Verdana" w:cs="Times New Roman"/>
          <w:color w:val="000000" w:themeColor="text1"/>
          <w:sz w:val="20"/>
          <w:szCs w:val="20"/>
        </w:rPr>
        <w:fldChar w:fldCharType="begin" w:fldLock="1"/>
      </w:r>
      <w:r w:rsidR="007A2FBD" w:rsidRPr="00C15BBA">
        <w:rPr>
          <w:rFonts w:ascii="Verdana" w:hAnsi="Verdana" w:cs="Times New Roman"/>
          <w:color w:val="000000" w:themeColor="text1"/>
          <w:sz w:val="20"/>
          <w:szCs w:val="20"/>
        </w:rPr>
        <w:instrText>ADDIN CSL_CITATION {"citationItems":[{"id":"ITEM-1","itemData":{"abstract":"trabajo de investigacion","author":[{"dropping-particle":"","family":"Oktaviani","given":"Heni","non-dropping-particle":"","parse-names":false,"suffix":""}],"id":"ITEM-1","issued":{"date-parts":[["2019"]]},"title":"Hubungan Skala Kepositifan Tubex TF dengan Angka Leukosit Pada Penderita Demam Tifoid","type":"article-journal"},"uris":["http://www.mendeley.com/documents/?uuid=b0c4e3d1-d9c2-4531-8ca7-a6343f24db9e","http://www.mendeley.com/documents/?uuid=d89f1f60-4623-4745-8292-290ff085714d"]}],"mendeley":{"formattedCitation":"(Oktaviani, 2019)","plainTextFormattedCitation":"(Oktaviani, 2019)","previouslyFormattedCitation":"(10)"},"properties":{"noteIndex":0},"schema":"https://github.com/citation-style-language/schema/raw/master/csl-citation.json"}</w:instrText>
      </w:r>
      <w:r w:rsidR="007A2FBD" w:rsidRPr="00C15BBA">
        <w:rPr>
          <w:rFonts w:ascii="Verdana" w:hAnsi="Verdana" w:cs="Times New Roman"/>
          <w:color w:val="000000" w:themeColor="text1"/>
          <w:sz w:val="20"/>
          <w:szCs w:val="20"/>
        </w:rPr>
        <w:fldChar w:fldCharType="separate"/>
      </w:r>
      <w:r w:rsidR="007A2FBD" w:rsidRPr="00C15BBA">
        <w:rPr>
          <w:rFonts w:ascii="Verdana" w:hAnsi="Verdana" w:cs="Times New Roman"/>
          <w:noProof/>
          <w:color w:val="000000" w:themeColor="text1"/>
          <w:sz w:val="20"/>
          <w:szCs w:val="20"/>
        </w:rPr>
        <w:t>(Oktaviani, 2019)</w:t>
      </w:r>
      <w:r w:rsidR="007A2FBD" w:rsidRPr="00C15BBA">
        <w:rPr>
          <w:rFonts w:ascii="Verdana" w:hAnsi="Verdana" w:cs="Times New Roman"/>
          <w:color w:val="000000" w:themeColor="text1"/>
          <w:sz w:val="20"/>
          <w:szCs w:val="20"/>
        </w:rPr>
        <w:fldChar w:fldCharType="end"/>
      </w:r>
      <w:r w:rsidRPr="00C15BBA">
        <w:rPr>
          <w:rFonts w:ascii="Verdana" w:hAnsi="Verdana" w:cs="Times New Roman"/>
          <w:color w:val="000000" w:themeColor="text1"/>
          <w:sz w:val="20"/>
          <w:szCs w:val="20"/>
        </w:rPr>
        <w:t>.</w:t>
      </w:r>
    </w:p>
    <w:p w14:paraId="402185FA" w14:textId="7205FB6F" w:rsidR="00797CA3" w:rsidRPr="00C15BBA" w:rsidRDefault="00797CA3" w:rsidP="00FA4992">
      <w:pPr>
        <w:spacing w:after="0" w:line="240" w:lineRule="auto"/>
        <w:ind w:firstLine="567"/>
        <w:jc w:val="both"/>
        <w:rPr>
          <w:rFonts w:ascii="Verdana" w:hAnsi="Verdana" w:cs="Times New Roman"/>
          <w:color w:val="000000" w:themeColor="text1"/>
          <w:sz w:val="20"/>
          <w:szCs w:val="20"/>
          <w:lang w:val="id-ID"/>
        </w:rPr>
      </w:pPr>
      <w:r w:rsidRPr="00C15BBA">
        <w:rPr>
          <w:rFonts w:ascii="Verdana" w:hAnsi="Verdana" w:cs="Times New Roman"/>
          <w:sz w:val="20"/>
          <w:szCs w:val="20"/>
        </w:rPr>
        <w:t xml:space="preserve">Berdasarkan data awal yang didapatkan dari rekam medik RSU Cut Meutia didapatkan pada tahun </w:t>
      </w:r>
      <w:r w:rsidRPr="00C15BBA">
        <w:rPr>
          <w:rFonts w:ascii="Verdana" w:hAnsi="Verdana" w:cs="Times New Roman"/>
          <w:color w:val="000000" w:themeColor="text1"/>
          <w:sz w:val="20"/>
          <w:szCs w:val="20"/>
        </w:rPr>
        <w:t xml:space="preserve">2019 yang menunjukkan bahwa terdapat angka kejadian demam tifoid sebesar 1.023 kasus rawat inap dan 241 kasus rawat jalan. Tahun 2020 terdapat 288 pasien kasus rawat inap dan 164 pasien kasus rawat jalan. Tahun 2021 terdapat 254 pasien kasus rawat inap dan tahun 2022 terdapat 240 pasien kasus rawat inap periode Januari-Juni. </w:t>
      </w:r>
    </w:p>
    <w:p w14:paraId="6A155E19" w14:textId="77777777" w:rsidR="00113E9D" w:rsidRPr="00C15BBA" w:rsidRDefault="00113E9D" w:rsidP="00FA4992">
      <w:pPr>
        <w:tabs>
          <w:tab w:val="left" w:pos="6660"/>
        </w:tabs>
        <w:spacing w:after="0" w:line="240" w:lineRule="auto"/>
        <w:jc w:val="both"/>
        <w:rPr>
          <w:rFonts w:ascii="Verdana" w:hAnsi="Verdana" w:cs="Times New Roman"/>
          <w:sz w:val="20"/>
          <w:szCs w:val="20"/>
        </w:rPr>
      </w:pPr>
      <w:r w:rsidRPr="00C15BBA">
        <w:rPr>
          <w:rFonts w:ascii="Verdana" w:hAnsi="Verdana" w:cs="Times New Roman"/>
          <w:b/>
          <w:sz w:val="20"/>
          <w:szCs w:val="20"/>
        </w:rPr>
        <w:t>METODE</w:t>
      </w:r>
    </w:p>
    <w:p w14:paraId="33D1D5E4" w14:textId="71473716" w:rsidR="00797CA3" w:rsidRPr="00C15BBA" w:rsidRDefault="00797CA3" w:rsidP="00FA4992">
      <w:pPr>
        <w:spacing w:after="0" w:line="240" w:lineRule="auto"/>
        <w:ind w:firstLine="630"/>
        <w:jc w:val="both"/>
        <w:rPr>
          <w:rFonts w:ascii="Verdana" w:hAnsi="Verdana" w:cs="Times New Roman"/>
          <w:iCs/>
          <w:color w:val="000000" w:themeColor="text1"/>
          <w:sz w:val="20"/>
          <w:szCs w:val="20"/>
        </w:rPr>
      </w:pPr>
      <w:r w:rsidRPr="00C15BBA">
        <w:rPr>
          <w:rFonts w:ascii="Verdana" w:hAnsi="Verdana" w:cs="Times New Roman"/>
          <w:sz w:val="20"/>
          <w:szCs w:val="20"/>
        </w:rPr>
        <w:t xml:space="preserve">Jenis penelitian ini adalah penelitian observasional analitik dengan desain </w:t>
      </w:r>
      <w:r w:rsidRPr="00C15BBA">
        <w:rPr>
          <w:rFonts w:ascii="Verdana" w:hAnsi="Verdana" w:cs="Times New Roman"/>
          <w:i/>
          <w:sz w:val="20"/>
          <w:szCs w:val="20"/>
        </w:rPr>
        <w:t>cross-sectional</w:t>
      </w:r>
      <w:r w:rsidRPr="00C15BBA">
        <w:rPr>
          <w:rFonts w:ascii="Verdana" w:hAnsi="Verdana" w:cs="Times New Roman"/>
          <w:sz w:val="20"/>
          <w:szCs w:val="20"/>
        </w:rPr>
        <w:t xml:space="preserve">. Untuk mengetahui hubungan derajat kepositifan Tubex TF terhadap angka leukosit pada pasien demam tifoid. </w:t>
      </w:r>
      <w:r w:rsidRPr="00C15BBA">
        <w:rPr>
          <w:rFonts w:ascii="Verdana" w:hAnsi="Verdana" w:cs="Times New Roman"/>
          <w:color w:val="000000" w:themeColor="text1"/>
          <w:sz w:val="20"/>
          <w:szCs w:val="20"/>
        </w:rPr>
        <w:t xml:space="preserve">Teknik pengambilan sampel dalam </w:t>
      </w:r>
      <w:r w:rsidRPr="00C15BBA">
        <w:rPr>
          <w:rFonts w:ascii="Verdana" w:hAnsi="Verdana" w:cs="Times New Roman"/>
          <w:color w:val="000000" w:themeColor="text1"/>
          <w:sz w:val="20"/>
          <w:szCs w:val="20"/>
        </w:rPr>
        <w:lastRenderedPageBreak/>
        <w:t xml:space="preserve">penelitian ini menggunakan metode </w:t>
      </w:r>
      <w:r w:rsidRPr="00C15BBA">
        <w:rPr>
          <w:rFonts w:ascii="Verdana" w:hAnsi="Verdana" w:cs="Times New Roman"/>
          <w:i/>
          <w:color w:val="000000" w:themeColor="text1"/>
          <w:sz w:val="20"/>
          <w:szCs w:val="20"/>
        </w:rPr>
        <w:t xml:space="preserve">purposive sampling </w:t>
      </w:r>
      <w:r w:rsidRPr="00C15BBA">
        <w:rPr>
          <w:rFonts w:ascii="Verdana" w:hAnsi="Verdana" w:cs="Times New Roman"/>
          <w:iCs/>
          <w:color w:val="000000" w:themeColor="text1"/>
          <w:sz w:val="20"/>
          <w:szCs w:val="20"/>
        </w:rPr>
        <w:t>dengan total 150 sampel. Data yang digunakan merupakan data sekunder yang diperoleh dari rekam medis RSUCM Aceh Utara.</w:t>
      </w:r>
    </w:p>
    <w:p w14:paraId="1BD43FD0" w14:textId="78490C6E" w:rsidR="00113E9D" w:rsidRPr="00C15BBA" w:rsidRDefault="00797CA3" w:rsidP="00FA4992">
      <w:pPr>
        <w:spacing w:after="0" w:line="240" w:lineRule="auto"/>
        <w:ind w:firstLine="720"/>
        <w:jc w:val="both"/>
        <w:rPr>
          <w:rFonts w:ascii="Verdana" w:eastAsia="Times New Roman" w:hAnsi="Verdana" w:cs="Times New Roman"/>
          <w:sz w:val="20"/>
          <w:szCs w:val="20"/>
        </w:rPr>
      </w:pPr>
      <w:r w:rsidRPr="00C15BBA">
        <w:rPr>
          <w:rFonts w:ascii="Verdana" w:eastAsia="Times New Roman" w:hAnsi="Verdana" w:cs="Times New Roman"/>
          <w:sz w:val="20"/>
          <w:szCs w:val="20"/>
        </w:rPr>
        <w:t xml:space="preserve">Komisi Etik Penelitian Kesehatan (KEPK) telah mengeluarkan izin untuk melaksankan penelitian ini dengan </w:t>
      </w:r>
      <w:r w:rsidRPr="00C15BBA">
        <w:rPr>
          <w:rFonts w:ascii="Verdana" w:eastAsia="Times New Roman" w:hAnsi="Verdana" w:cs="Times New Roman"/>
          <w:sz w:val="20"/>
          <w:szCs w:val="20"/>
        </w:rPr>
        <w:lastRenderedPageBreak/>
        <w:t>nomor registrasi No.019/KEPK/FKUNIMAL-RSUCM/2022.</w:t>
      </w:r>
    </w:p>
    <w:p w14:paraId="38A0C3EA" w14:textId="38C84022" w:rsidR="00113E9D" w:rsidRPr="00C15BBA" w:rsidRDefault="00113E9D" w:rsidP="00FA4992">
      <w:pPr>
        <w:autoSpaceDE w:val="0"/>
        <w:autoSpaceDN w:val="0"/>
        <w:adjustRightInd w:val="0"/>
        <w:spacing w:after="0" w:line="240" w:lineRule="auto"/>
        <w:jc w:val="both"/>
        <w:rPr>
          <w:rFonts w:ascii="Verdana" w:hAnsi="Verdana" w:cs="Times New Roman"/>
          <w:b/>
          <w:sz w:val="20"/>
          <w:szCs w:val="20"/>
        </w:rPr>
      </w:pPr>
      <w:r w:rsidRPr="00C15BBA">
        <w:rPr>
          <w:rFonts w:ascii="Verdana" w:hAnsi="Verdana" w:cs="Times New Roman"/>
          <w:b/>
          <w:sz w:val="20"/>
          <w:szCs w:val="20"/>
        </w:rPr>
        <w:t xml:space="preserve">HASIL </w:t>
      </w:r>
    </w:p>
    <w:p w14:paraId="2992878E" w14:textId="19F2B698" w:rsidR="00797CA3" w:rsidRPr="00C15BBA" w:rsidRDefault="00797CA3"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Dalam penelitian ini dilakukan 2 </w:t>
      </w:r>
      <w:r w:rsidR="003278AE" w:rsidRPr="00C15BBA">
        <w:rPr>
          <w:rFonts w:ascii="Verdana" w:hAnsi="Verdana" w:cs="Times New Roman"/>
          <w:sz w:val="20"/>
          <w:szCs w:val="20"/>
        </w:rPr>
        <w:t>analisis data yaitu analisis univariat dan bivariat. Hasil analisis univariat digunakan untuk melihat gambaran karakteristik sampel yaitu berdasarkan jenis kelamin dan usia.</w:t>
      </w:r>
    </w:p>
    <w:p w14:paraId="27DF9DB4" w14:textId="77777777" w:rsidR="00C3492A" w:rsidRDefault="00C3492A" w:rsidP="00FA4992">
      <w:pPr>
        <w:pStyle w:val="Caption"/>
        <w:keepNext/>
        <w:spacing w:after="0"/>
        <w:jc w:val="center"/>
        <w:rPr>
          <w:rFonts w:ascii="Verdana" w:hAnsi="Verdana" w:cs="Times New Roman"/>
          <w:b/>
          <w:bCs/>
          <w:i w:val="0"/>
          <w:iCs w:val="0"/>
          <w:color w:val="auto"/>
          <w:sz w:val="20"/>
          <w:szCs w:val="20"/>
        </w:rPr>
      </w:pPr>
    </w:p>
    <w:p w14:paraId="518730E1" w14:textId="77777777" w:rsidR="00C3492A" w:rsidRPr="00C3492A" w:rsidRDefault="00C3492A" w:rsidP="00C3492A">
      <w:pPr>
        <w:sectPr w:rsidR="00C3492A" w:rsidRPr="00C3492A" w:rsidSect="00C3492A">
          <w:type w:val="continuous"/>
          <w:pgSz w:w="11907" w:h="16839" w:code="9"/>
          <w:pgMar w:top="1418" w:right="1418" w:bottom="1418" w:left="1418" w:header="720" w:footer="720" w:gutter="0"/>
          <w:cols w:num="2" w:space="720"/>
          <w:docGrid w:linePitch="360"/>
        </w:sectPr>
      </w:pPr>
    </w:p>
    <w:p w14:paraId="7A3E8365" w14:textId="0DCDB684" w:rsidR="00AF506E" w:rsidRPr="00C15BBA" w:rsidRDefault="00AF506E" w:rsidP="00FA4992">
      <w:pPr>
        <w:pStyle w:val="Caption"/>
        <w:keepNext/>
        <w:spacing w:after="0"/>
        <w:jc w:val="center"/>
        <w:rPr>
          <w:rFonts w:ascii="Verdana" w:hAnsi="Verdana" w:cs="Times New Roman"/>
          <w:b/>
          <w:bCs/>
          <w:i w:val="0"/>
          <w:iCs w:val="0"/>
          <w:color w:val="auto"/>
          <w:sz w:val="20"/>
          <w:szCs w:val="20"/>
        </w:rPr>
      </w:pPr>
      <w:proofErr w:type="gramStart"/>
      <w:r w:rsidRPr="00C15BBA">
        <w:rPr>
          <w:rFonts w:ascii="Verdana" w:hAnsi="Verdana" w:cs="Times New Roman"/>
          <w:b/>
          <w:bCs/>
          <w:i w:val="0"/>
          <w:iCs w:val="0"/>
          <w:color w:val="auto"/>
          <w:sz w:val="20"/>
          <w:szCs w:val="20"/>
        </w:rPr>
        <w:lastRenderedPageBreak/>
        <w:t xml:space="preserve">Tabel </w:t>
      </w:r>
      <w:r w:rsidRPr="00C15BBA">
        <w:rPr>
          <w:rFonts w:ascii="Verdana" w:hAnsi="Verdana" w:cs="Times New Roman"/>
          <w:b/>
          <w:bCs/>
          <w:i w:val="0"/>
          <w:iCs w:val="0"/>
          <w:color w:val="auto"/>
          <w:sz w:val="20"/>
          <w:szCs w:val="20"/>
        </w:rPr>
        <w:fldChar w:fldCharType="begin"/>
      </w:r>
      <w:r w:rsidRPr="00C15BBA">
        <w:rPr>
          <w:rFonts w:ascii="Verdana" w:hAnsi="Verdana" w:cs="Times New Roman"/>
          <w:b/>
          <w:bCs/>
          <w:i w:val="0"/>
          <w:iCs w:val="0"/>
          <w:color w:val="auto"/>
          <w:sz w:val="20"/>
          <w:szCs w:val="20"/>
        </w:rPr>
        <w:instrText xml:space="preserve"> SEQ Tabel \* ARABIC </w:instrText>
      </w:r>
      <w:r w:rsidRPr="00C15BBA">
        <w:rPr>
          <w:rFonts w:ascii="Verdana" w:hAnsi="Verdana" w:cs="Times New Roman"/>
          <w:b/>
          <w:bCs/>
          <w:i w:val="0"/>
          <w:iCs w:val="0"/>
          <w:color w:val="auto"/>
          <w:sz w:val="20"/>
          <w:szCs w:val="20"/>
        </w:rPr>
        <w:fldChar w:fldCharType="separate"/>
      </w:r>
      <w:r w:rsidR="00512CF4">
        <w:rPr>
          <w:rFonts w:ascii="Verdana" w:hAnsi="Verdana" w:cs="Times New Roman"/>
          <w:b/>
          <w:bCs/>
          <w:i w:val="0"/>
          <w:iCs w:val="0"/>
          <w:noProof/>
          <w:color w:val="auto"/>
          <w:sz w:val="20"/>
          <w:szCs w:val="20"/>
        </w:rPr>
        <w:t>1</w:t>
      </w:r>
      <w:r w:rsidRPr="00C15BBA">
        <w:rPr>
          <w:rFonts w:ascii="Verdana" w:hAnsi="Verdana" w:cs="Times New Roman"/>
          <w:b/>
          <w:bCs/>
          <w:i w:val="0"/>
          <w:iCs w:val="0"/>
          <w:color w:val="auto"/>
          <w:sz w:val="20"/>
          <w:szCs w:val="20"/>
        </w:rPr>
        <w:fldChar w:fldCharType="end"/>
      </w:r>
      <w:r w:rsidRPr="00C15BBA">
        <w:rPr>
          <w:rFonts w:ascii="Verdana" w:hAnsi="Verdana" w:cs="Times New Roman"/>
          <w:b/>
          <w:bCs/>
          <w:i w:val="0"/>
          <w:iCs w:val="0"/>
          <w:color w:val="auto"/>
          <w:sz w:val="20"/>
          <w:szCs w:val="20"/>
        </w:rPr>
        <w:t>.</w:t>
      </w:r>
      <w:proofErr w:type="gramEnd"/>
      <w:r w:rsidRPr="00C15BBA">
        <w:rPr>
          <w:rFonts w:ascii="Verdana" w:hAnsi="Verdana" w:cs="Times New Roman"/>
          <w:b/>
          <w:bCs/>
          <w:i w:val="0"/>
          <w:iCs w:val="0"/>
          <w:color w:val="auto"/>
          <w:sz w:val="20"/>
          <w:szCs w:val="20"/>
        </w:rPr>
        <w:t xml:space="preserve"> Karakteristik Sampel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770"/>
        <w:gridCol w:w="2346"/>
        <w:gridCol w:w="1465"/>
      </w:tblGrid>
      <w:tr w:rsidR="003278AE" w:rsidRPr="00C15BBA" w14:paraId="3E5E1747" w14:textId="77777777" w:rsidTr="00C3492A">
        <w:trPr>
          <w:jc w:val="center"/>
        </w:trPr>
        <w:tc>
          <w:tcPr>
            <w:tcW w:w="0" w:type="auto"/>
            <w:tcBorders>
              <w:top w:val="single" w:sz="4" w:space="0" w:color="auto"/>
              <w:bottom w:val="single" w:sz="4" w:space="0" w:color="auto"/>
            </w:tcBorders>
          </w:tcPr>
          <w:p w14:paraId="409E0218" w14:textId="6647B699"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NO.</w:t>
            </w:r>
          </w:p>
        </w:tc>
        <w:tc>
          <w:tcPr>
            <w:tcW w:w="0" w:type="auto"/>
            <w:tcBorders>
              <w:top w:val="single" w:sz="4" w:space="0" w:color="auto"/>
              <w:bottom w:val="single" w:sz="4" w:space="0" w:color="auto"/>
            </w:tcBorders>
          </w:tcPr>
          <w:p w14:paraId="08C33447" w14:textId="0CE6518A"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Karakteristik</w:t>
            </w:r>
          </w:p>
        </w:tc>
        <w:tc>
          <w:tcPr>
            <w:tcW w:w="0" w:type="auto"/>
            <w:tcBorders>
              <w:top w:val="single" w:sz="4" w:space="0" w:color="auto"/>
              <w:bottom w:val="single" w:sz="4" w:space="0" w:color="auto"/>
            </w:tcBorders>
          </w:tcPr>
          <w:p w14:paraId="43B94E4D" w14:textId="699C71AA"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Frekuensi (n=150)</w:t>
            </w:r>
          </w:p>
        </w:tc>
        <w:tc>
          <w:tcPr>
            <w:tcW w:w="0" w:type="auto"/>
            <w:tcBorders>
              <w:top w:val="single" w:sz="4" w:space="0" w:color="auto"/>
              <w:bottom w:val="single" w:sz="4" w:space="0" w:color="auto"/>
            </w:tcBorders>
          </w:tcPr>
          <w:p w14:paraId="36FDB6E4" w14:textId="3C213EA1"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Persentase</w:t>
            </w:r>
          </w:p>
        </w:tc>
      </w:tr>
      <w:tr w:rsidR="003278AE" w:rsidRPr="00C15BBA" w14:paraId="13D0F4ED" w14:textId="77777777" w:rsidTr="00C3492A">
        <w:trPr>
          <w:jc w:val="center"/>
        </w:trPr>
        <w:tc>
          <w:tcPr>
            <w:tcW w:w="0" w:type="auto"/>
            <w:tcBorders>
              <w:top w:val="single" w:sz="4" w:space="0" w:color="auto"/>
            </w:tcBorders>
          </w:tcPr>
          <w:p w14:paraId="0112EC06" w14:textId="58A697E3" w:rsidR="003278AE" w:rsidRPr="00C15BBA" w:rsidRDefault="00E70C91"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1</w:t>
            </w:r>
          </w:p>
        </w:tc>
        <w:tc>
          <w:tcPr>
            <w:tcW w:w="0" w:type="auto"/>
            <w:tcBorders>
              <w:top w:val="single" w:sz="4" w:space="0" w:color="auto"/>
            </w:tcBorders>
          </w:tcPr>
          <w:p w14:paraId="4DF55BE0" w14:textId="4BE92AD3"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Jenis Kelamin</w:t>
            </w:r>
          </w:p>
        </w:tc>
        <w:tc>
          <w:tcPr>
            <w:tcW w:w="0" w:type="auto"/>
            <w:tcBorders>
              <w:top w:val="single" w:sz="4" w:space="0" w:color="auto"/>
            </w:tcBorders>
          </w:tcPr>
          <w:p w14:paraId="58D274F8" w14:textId="77777777" w:rsidR="003278AE" w:rsidRPr="00C15BBA" w:rsidRDefault="003278AE" w:rsidP="00FA4992">
            <w:pPr>
              <w:spacing w:after="0" w:line="240" w:lineRule="auto"/>
              <w:jc w:val="both"/>
              <w:rPr>
                <w:rFonts w:ascii="Verdana" w:hAnsi="Verdana" w:cs="Times New Roman"/>
                <w:b/>
                <w:bCs/>
                <w:sz w:val="20"/>
                <w:szCs w:val="20"/>
              </w:rPr>
            </w:pPr>
          </w:p>
        </w:tc>
        <w:tc>
          <w:tcPr>
            <w:tcW w:w="0" w:type="auto"/>
            <w:tcBorders>
              <w:top w:val="single" w:sz="4" w:space="0" w:color="auto"/>
            </w:tcBorders>
          </w:tcPr>
          <w:p w14:paraId="1CDE362C" w14:textId="77777777" w:rsidR="003278AE" w:rsidRPr="00C15BBA" w:rsidRDefault="003278AE" w:rsidP="00FA4992">
            <w:pPr>
              <w:spacing w:after="0" w:line="240" w:lineRule="auto"/>
              <w:jc w:val="both"/>
              <w:rPr>
                <w:rFonts w:ascii="Verdana" w:hAnsi="Verdana" w:cs="Times New Roman"/>
                <w:b/>
                <w:bCs/>
                <w:sz w:val="20"/>
                <w:szCs w:val="20"/>
              </w:rPr>
            </w:pPr>
          </w:p>
        </w:tc>
      </w:tr>
      <w:tr w:rsidR="003278AE" w:rsidRPr="00C15BBA" w14:paraId="3AAD9808" w14:textId="77777777" w:rsidTr="00C3492A">
        <w:trPr>
          <w:jc w:val="center"/>
        </w:trPr>
        <w:tc>
          <w:tcPr>
            <w:tcW w:w="0" w:type="auto"/>
          </w:tcPr>
          <w:p w14:paraId="0A88BBF0"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3A9E8C67" w14:textId="6C1F2138"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Laki-laki</w:t>
            </w:r>
          </w:p>
        </w:tc>
        <w:tc>
          <w:tcPr>
            <w:tcW w:w="0" w:type="auto"/>
          </w:tcPr>
          <w:p w14:paraId="6F7D1751" w14:textId="014A48C0"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60</w:t>
            </w:r>
          </w:p>
        </w:tc>
        <w:tc>
          <w:tcPr>
            <w:tcW w:w="0" w:type="auto"/>
          </w:tcPr>
          <w:p w14:paraId="2CF47EB4" w14:textId="19D59457"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40%</w:t>
            </w:r>
          </w:p>
        </w:tc>
      </w:tr>
      <w:tr w:rsidR="003278AE" w:rsidRPr="00C15BBA" w14:paraId="558A3E3F" w14:textId="77777777" w:rsidTr="00C3492A">
        <w:trPr>
          <w:jc w:val="center"/>
        </w:trPr>
        <w:tc>
          <w:tcPr>
            <w:tcW w:w="0" w:type="auto"/>
          </w:tcPr>
          <w:p w14:paraId="474FF633"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61A4CC68" w14:textId="2B8EDBB9"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Perempuan</w:t>
            </w:r>
          </w:p>
        </w:tc>
        <w:tc>
          <w:tcPr>
            <w:tcW w:w="0" w:type="auto"/>
          </w:tcPr>
          <w:p w14:paraId="0A428F5F" w14:textId="22900B02"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90</w:t>
            </w:r>
          </w:p>
        </w:tc>
        <w:tc>
          <w:tcPr>
            <w:tcW w:w="0" w:type="auto"/>
          </w:tcPr>
          <w:p w14:paraId="3682DDF8" w14:textId="0B030FCD"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60%</w:t>
            </w:r>
          </w:p>
        </w:tc>
      </w:tr>
      <w:tr w:rsidR="003278AE" w:rsidRPr="00C15BBA" w14:paraId="54904032" w14:textId="77777777" w:rsidTr="00C3492A">
        <w:trPr>
          <w:jc w:val="center"/>
        </w:trPr>
        <w:tc>
          <w:tcPr>
            <w:tcW w:w="0" w:type="auto"/>
          </w:tcPr>
          <w:p w14:paraId="2A0B789B" w14:textId="0A1DBD81" w:rsidR="003278AE" w:rsidRPr="00C15BBA" w:rsidRDefault="00E70C91"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2</w:t>
            </w:r>
          </w:p>
        </w:tc>
        <w:tc>
          <w:tcPr>
            <w:tcW w:w="0" w:type="auto"/>
          </w:tcPr>
          <w:p w14:paraId="151E9D51" w14:textId="67CD6932" w:rsidR="003278AE" w:rsidRPr="00C15BBA" w:rsidRDefault="003278AE"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Usia</w:t>
            </w:r>
          </w:p>
        </w:tc>
        <w:tc>
          <w:tcPr>
            <w:tcW w:w="0" w:type="auto"/>
          </w:tcPr>
          <w:p w14:paraId="5285D915" w14:textId="77777777" w:rsidR="003278AE" w:rsidRPr="00C15BBA" w:rsidRDefault="003278AE" w:rsidP="00FA4992">
            <w:pPr>
              <w:spacing w:after="0" w:line="240" w:lineRule="auto"/>
              <w:jc w:val="both"/>
              <w:rPr>
                <w:rFonts w:ascii="Verdana" w:hAnsi="Verdana" w:cs="Times New Roman"/>
                <w:b/>
                <w:bCs/>
                <w:sz w:val="20"/>
                <w:szCs w:val="20"/>
              </w:rPr>
            </w:pPr>
          </w:p>
        </w:tc>
        <w:tc>
          <w:tcPr>
            <w:tcW w:w="0" w:type="auto"/>
          </w:tcPr>
          <w:p w14:paraId="73E5DE5B" w14:textId="77777777" w:rsidR="003278AE" w:rsidRPr="00C15BBA" w:rsidRDefault="003278AE" w:rsidP="00FA4992">
            <w:pPr>
              <w:spacing w:after="0" w:line="240" w:lineRule="auto"/>
              <w:jc w:val="both"/>
              <w:rPr>
                <w:rFonts w:ascii="Verdana" w:hAnsi="Verdana" w:cs="Times New Roman"/>
                <w:b/>
                <w:bCs/>
                <w:sz w:val="20"/>
                <w:szCs w:val="20"/>
              </w:rPr>
            </w:pPr>
          </w:p>
        </w:tc>
      </w:tr>
      <w:tr w:rsidR="003278AE" w:rsidRPr="00C15BBA" w14:paraId="650913F6" w14:textId="77777777" w:rsidTr="00C3492A">
        <w:trPr>
          <w:jc w:val="center"/>
        </w:trPr>
        <w:tc>
          <w:tcPr>
            <w:tcW w:w="0" w:type="auto"/>
          </w:tcPr>
          <w:p w14:paraId="40330B17"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013D52EB" w14:textId="469595E2"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0-5 tahun</w:t>
            </w:r>
          </w:p>
        </w:tc>
        <w:tc>
          <w:tcPr>
            <w:tcW w:w="0" w:type="auto"/>
          </w:tcPr>
          <w:p w14:paraId="28A2A184" w14:textId="73A3E467"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22</w:t>
            </w:r>
          </w:p>
        </w:tc>
        <w:tc>
          <w:tcPr>
            <w:tcW w:w="0" w:type="auto"/>
          </w:tcPr>
          <w:p w14:paraId="021B1BE0" w14:textId="717E336F"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14,7%</w:t>
            </w:r>
          </w:p>
        </w:tc>
      </w:tr>
      <w:tr w:rsidR="003278AE" w:rsidRPr="00C15BBA" w14:paraId="46E831C4" w14:textId="77777777" w:rsidTr="00C3492A">
        <w:trPr>
          <w:jc w:val="center"/>
        </w:trPr>
        <w:tc>
          <w:tcPr>
            <w:tcW w:w="0" w:type="auto"/>
          </w:tcPr>
          <w:p w14:paraId="3E22680D"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48FE887F" w14:textId="5B4135B1"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6-11 tahun</w:t>
            </w:r>
          </w:p>
        </w:tc>
        <w:tc>
          <w:tcPr>
            <w:tcW w:w="0" w:type="auto"/>
          </w:tcPr>
          <w:p w14:paraId="67C75ECE" w14:textId="64B2090E"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15</w:t>
            </w:r>
          </w:p>
        </w:tc>
        <w:tc>
          <w:tcPr>
            <w:tcW w:w="0" w:type="auto"/>
          </w:tcPr>
          <w:p w14:paraId="668CE98A" w14:textId="04822BA2"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10%</w:t>
            </w:r>
          </w:p>
        </w:tc>
      </w:tr>
      <w:tr w:rsidR="003278AE" w:rsidRPr="00C15BBA" w14:paraId="399640C2" w14:textId="77777777" w:rsidTr="00C3492A">
        <w:trPr>
          <w:jc w:val="center"/>
        </w:trPr>
        <w:tc>
          <w:tcPr>
            <w:tcW w:w="0" w:type="auto"/>
          </w:tcPr>
          <w:p w14:paraId="67232D89"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4B96C672" w14:textId="0D1E5AB3"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12-16 tahun</w:t>
            </w:r>
          </w:p>
        </w:tc>
        <w:tc>
          <w:tcPr>
            <w:tcW w:w="0" w:type="auto"/>
          </w:tcPr>
          <w:p w14:paraId="7247EFE8" w14:textId="54E462EF"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12</w:t>
            </w:r>
          </w:p>
        </w:tc>
        <w:tc>
          <w:tcPr>
            <w:tcW w:w="0" w:type="auto"/>
          </w:tcPr>
          <w:p w14:paraId="4CCB9815" w14:textId="2CB10789"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8%</w:t>
            </w:r>
          </w:p>
        </w:tc>
      </w:tr>
      <w:tr w:rsidR="003278AE" w:rsidRPr="00C15BBA" w14:paraId="3A79E789" w14:textId="77777777" w:rsidTr="00C3492A">
        <w:trPr>
          <w:jc w:val="center"/>
        </w:trPr>
        <w:tc>
          <w:tcPr>
            <w:tcW w:w="0" w:type="auto"/>
          </w:tcPr>
          <w:p w14:paraId="3AAFDF73"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081C24C2" w14:textId="6E8FF5B3"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17-25 tahun</w:t>
            </w:r>
          </w:p>
        </w:tc>
        <w:tc>
          <w:tcPr>
            <w:tcW w:w="0" w:type="auto"/>
          </w:tcPr>
          <w:p w14:paraId="3ABAE21F" w14:textId="178FB5DD"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43</w:t>
            </w:r>
          </w:p>
        </w:tc>
        <w:tc>
          <w:tcPr>
            <w:tcW w:w="0" w:type="auto"/>
          </w:tcPr>
          <w:p w14:paraId="2E818938" w14:textId="5FC6426D"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28,7%</w:t>
            </w:r>
          </w:p>
        </w:tc>
      </w:tr>
      <w:tr w:rsidR="003278AE" w:rsidRPr="00C15BBA" w14:paraId="5832FB0A" w14:textId="77777777" w:rsidTr="00C3492A">
        <w:trPr>
          <w:jc w:val="center"/>
        </w:trPr>
        <w:tc>
          <w:tcPr>
            <w:tcW w:w="0" w:type="auto"/>
          </w:tcPr>
          <w:p w14:paraId="71B44377"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2B8D1E1F" w14:textId="192D81D0"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26-35 tahun</w:t>
            </w:r>
          </w:p>
        </w:tc>
        <w:tc>
          <w:tcPr>
            <w:tcW w:w="0" w:type="auto"/>
          </w:tcPr>
          <w:p w14:paraId="5FC968B2" w14:textId="6B8491EC"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20</w:t>
            </w:r>
          </w:p>
        </w:tc>
        <w:tc>
          <w:tcPr>
            <w:tcW w:w="0" w:type="auto"/>
          </w:tcPr>
          <w:p w14:paraId="4CC261E9" w14:textId="49500D79"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13,3</w:t>
            </w:r>
            <w:r w:rsidR="00E70C91" w:rsidRPr="00C15BBA">
              <w:rPr>
                <w:rFonts w:ascii="Verdana" w:hAnsi="Verdana" w:cs="Times New Roman"/>
                <w:sz w:val="20"/>
                <w:szCs w:val="20"/>
              </w:rPr>
              <w:t>%</w:t>
            </w:r>
          </w:p>
        </w:tc>
      </w:tr>
      <w:tr w:rsidR="003278AE" w:rsidRPr="00C15BBA" w14:paraId="2598EAD9" w14:textId="77777777" w:rsidTr="00C3492A">
        <w:trPr>
          <w:jc w:val="center"/>
        </w:trPr>
        <w:tc>
          <w:tcPr>
            <w:tcW w:w="0" w:type="auto"/>
          </w:tcPr>
          <w:p w14:paraId="36D58ED7"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39D5B0A3" w14:textId="1AEC7AEA"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36-45 tahun</w:t>
            </w:r>
          </w:p>
        </w:tc>
        <w:tc>
          <w:tcPr>
            <w:tcW w:w="0" w:type="auto"/>
          </w:tcPr>
          <w:p w14:paraId="55E63195" w14:textId="21CD7548"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13</w:t>
            </w:r>
          </w:p>
        </w:tc>
        <w:tc>
          <w:tcPr>
            <w:tcW w:w="0" w:type="auto"/>
          </w:tcPr>
          <w:p w14:paraId="7B090F32" w14:textId="207BB7FF" w:rsidR="003278AE" w:rsidRPr="00C15BBA" w:rsidRDefault="00E70C91" w:rsidP="00FA4992">
            <w:pPr>
              <w:spacing w:after="0" w:line="240" w:lineRule="auto"/>
              <w:jc w:val="both"/>
              <w:rPr>
                <w:rFonts w:ascii="Verdana" w:hAnsi="Verdana" w:cs="Times New Roman"/>
                <w:sz w:val="20"/>
                <w:szCs w:val="20"/>
              </w:rPr>
            </w:pPr>
            <w:r w:rsidRPr="00C15BBA">
              <w:rPr>
                <w:rFonts w:ascii="Verdana" w:hAnsi="Verdana" w:cs="Times New Roman"/>
                <w:sz w:val="20"/>
                <w:szCs w:val="20"/>
              </w:rPr>
              <w:t>8,7%</w:t>
            </w:r>
          </w:p>
        </w:tc>
      </w:tr>
      <w:tr w:rsidR="003278AE" w:rsidRPr="00C15BBA" w14:paraId="2AE487F3" w14:textId="77777777" w:rsidTr="00C3492A">
        <w:trPr>
          <w:jc w:val="center"/>
        </w:trPr>
        <w:tc>
          <w:tcPr>
            <w:tcW w:w="0" w:type="auto"/>
          </w:tcPr>
          <w:p w14:paraId="76766012"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36507931" w14:textId="6EC5CD34"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46-55 tahun</w:t>
            </w:r>
          </w:p>
        </w:tc>
        <w:tc>
          <w:tcPr>
            <w:tcW w:w="0" w:type="auto"/>
          </w:tcPr>
          <w:p w14:paraId="484620F2" w14:textId="78514BF4"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11</w:t>
            </w:r>
          </w:p>
        </w:tc>
        <w:tc>
          <w:tcPr>
            <w:tcW w:w="0" w:type="auto"/>
          </w:tcPr>
          <w:p w14:paraId="456ABD14" w14:textId="1609D444" w:rsidR="003278AE" w:rsidRPr="00C15BBA" w:rsidRDefault="00E70C91" w:rsidP="00FA4992">
            <w:pPr>
              <w:spacing w:after="0" w:line="240" w:lineRule="auto"/>
              <w:jc w:val="both"/>
              <w:rPr>
                <w:rFonts w:ascii="Verdana" w:hAnsi="Verdana" w:cs="Times New Roman"/>
                <w:sz w:val="20"/>
                <w:szCs w:val="20"/>
              </w:rPr>
            </w:pPr>
            <w:r w:rsidRPr="00C15BBA">
              <w:rPr>
                <w:rFonts w:ascii="Verdana" w:hAnsi="Verdana" w:cs="Times New Roman"/>
                <w:sz w:val="20"/>
                <w:szCs w:val="20"/>
              </w:rPr>
              <w:t>7,3%</w:t>
            </w:r>
          </w:p>
        </w:tc>
      </w:tr>
      <w:tr w:rsidR="003278AE" w:rsidRPr="00C15BBA" w14:paraId="3AF69EB4" w14:textId="77777777" w:rsidTr="00C3492A">
        <w:trPr>
          <w:jc w:val="center"/>
        </w:trPr>
        <w:tc>
          <w:tcPr>
            <w:tcW w:w="0" w:type="auto"/>
          </w:tcPr>
          <w:p w14:paraId="1C404D65" w14:textId="77777777" w:rsidR="003278AE" w:rsidRPr="00C15BBA" w:rsidRDefault="003278AE" w:rsidP="00FA4992">
            <w:pPr>
              <w:spacing w:after="0" w:line="240" w:lineRule="auto"/>
              <w:jc w:val="both"/>
              <w:rPr>
                <w:rFonts w:ascii="Verdana" w:hAnsi="Verdana" w:cs="Times New Roman"/>
                <w:sz w:val="20"/>
                <w:szCs w:val="20"/>
              </w:rPr>
            </w:pPr>
          </w:p>
        </w:tc>
        <w:tc>
          <w:tcPr>
            <w:tcW w:w="0" w:type="auto"/>
          </w:tcPr>
          <w:p w14:paraId="69E5E68B" w14:textId="56965687"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56-65 tahun</w:t>
            </w:r>
          </w:p>
        </w:tc>
        <w:tc>
          <w:tcPr>
            <w:tcW w:w="0" w:type="auto"/>
          </w:tcPr>
          <w:p w14:paraId="33CA4DF2" w14:textId="48AD440C"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10</w:t>
            </w:r>
          </w:p>
        </w:tc>
        <w:tc>
          <w:tcPr>
            <w:tcW w:w="0" w:type="auto"/>
          </w:tcPr>
          <w:p w14:paraId="731D0285" w14:textId="31371018" w:rsidR="003278AE" w:rsidRPr="00C15BBA" w:rsidRDefault="00E70C91" w:rsidP="00FA4992">
            <w:pPr>
              <w:spacing w:after="0" w:line="240" w:lineRule="auto"/>
              <w:jc w:val="both"/>
              <w:rPr>
                <w:rFonts w:ascii="Verdana" w:hAnsi="Verdana" w:cs="Times New Roman"/>
                <w:sz w:val="20"/>
                <w:szCs w:val="20"/>
              </w:rPr>
            </w:pPr>
            <w:r w:rsidRPr="00C15BBA">
              <w:rPr>
                <w:rFonts w:ascii="Verdana" w:hAnsi="Verdana" w:cs="Times New Roman"/>
                <w:sz w:val="20"/>
                <w:szCs w:val="20"/>
              </w:rPr>
              <w:t>6,7%</w:t>
            </w:r>
          </w:p>
        </w:tc>
      </w:tr>
      <w:tr w:rsidR="003278AE" w:rsidRPr="00C15BBA" w14:paraId="5A896763" w14:textId="77777777" w:rsidTr="00C3492A">
        <w:trPr>
          <w:jc w:val="center"/>
        </w:trPr>
        <w:tc>
          <w:tcPr>
            <w:tcW w:w="0" w:type="auto"/>
            <w:tcBorders>
              <w:bottom w:val="single" w:sz="4" w:space="0" w:color="auto"/>
            </w:tcBorders>
          </w:tcPr>
          <w:p w14:paraId="223338EF" w14:textId="77777777" w:rsidR="003278AE" w:rsidRPr="00C15BBA" w:rsidRDefault="003278AE" w:rsidP="00FA4992">
            <w:pPr>
              <w:spacing w:after="0" w:line="240" w:lineRule="auto"/>
              <w:jc w:val="both"/>
              <w:rPr>
                <w:rFonts w:ascii="Verdana" w:hAnsi="Verdana" w:cs="Times New Roman"/>
                <w:sz w:val="20"/>
                <w:szCs w:val="20"/>
              </w:rPr>
            </w:pPr>
          </w:p>
        </w:tc>
        <w:tc>
          <w:tcPr>
            <w:tcW w:w="0" w:type="auto"/>
            <w:tcBorders>
              <w:bottom w:val="single" w:sz="4" w:space="0" w:color="auto"/>
            </w:tcBorders>
          </w:tcPr>
          <w:p w14:paraId="221BDEA0" w14:textId="5E80326B"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&gt;65 tahun</w:t>
            </w:r>
          </w:p>
        </w:tc>
        <w:tc>
          <w:tcPr>
            <w:tcW w:w="0" w:type="auto"/>
            <w:tcBorders>
              <w:bottom w:val="single" w:sz="4" w:space="0" w:color="auto"/>
            </w:tcBorders>
          </w:tcPr>
          <w:p w14:paraId="223863A3" w14:textId="3A18503C" w:rsidR="003278AE" w:rsidRPr="00C15BBA" w:rsidRDefault="003278AE" w:rsidP="00FA4992">
            <w:pPr>
              <w:spacing w:after="0" w:line="240" w:lineRule="auto"/>
              <w:jc w:val="both"/>
              <w:rPr>
                <w:rFonts w:ascii="Verdana" w:hAnsi="Verdana" w:cs="Times New Roman"/>
                <w:sz w:val="20"/>
                <w:szCs w:val="20"/>
              </w:rPr>
            </w:pPr>
            <w:r w:rsidRPr="00C15BBA">
              <w:rPr>
                <w:rFonts w:ascii="Verdana" w:hAnsi="Verdana" w:cs="Times New Roman"/>
                <w:sz w:val="20"/>
                <w:szCs w:val="20"/>
              </w:rPr>
              <w:t>4</w:t>
            </w:r>
          </w:p>
        </w:tc>
        <w:tc>
          <w:tcPr>
            <w:tcW w:w="0" w:type="auto"/>
            <w:tcBorders>
              <w:bottom w:val="single" w:sz="4" w:space="0" w:color="auto"/>
            </w:tcBorders>
          </w:tcPr>
          <w:p w14:paraId="685330F0" w14:textId="7D73A5A5" w:rsidR="003278AE" w:rsidRPr="00C15BBA" w:rsidRDefault="00E70C91" w:rsidP="00FA4992">
            <w:pPr>
              <w:spacing w:after="0" w:line="240" w:lineRule="auto"/>
              <w:jc w:val="both"/>
              <w:rPr>
                <w:rFonts w:ascii="Verdana" w:hAnsi="Verdana" w:cs="Times New Roman"/>
                <w:sz w:val="20"/>
                <w:szCs w:val="20"/>
              </w:rPr>
            </w:pPr>
            <w:r w:rsidRPr="00C15BBA">
              <w:rPr>
                <w:rFonts w:ascii="Verdana" w:hAnsi="Verdana" w:cs="Times New Roman"/>
                <w:sz w:val="20"/>
                <w:szCs w:val="20"/>
              </w:rPr>
              <w:t>2,7%</w:t>
            </w:r>
          </w:p>
        </w:tc>
      </w:tr>
    </w:tbl>
    <w:p w14:paraId="0F53B266" w14:textId="031A81BC" w:rsidR="003278AE" w:rsidRPr="00C15BBA" w:rsidRDefault="00AF506E" w:rsidP="00FA4992">
      <w:pPr>
        <w:spacing w:after="0" w:line="240" w:lineRule="auto"/>
        <w:jc w:val="center"/>
        <w:rPr>
          <w:rFonts w:ascii="Verdana" w:hAnsi="Verdana" w:cs="Times New Roman"/>
          <w:sz w:val="20"/>
          <w:szCs w:val="20"/>
        </w:rPr>
      </w:pPr>
      <w:proofErr w:type="gramStart"/>
      <w:r w:rsidRPr="00C15BBA">
        <w:rPr>
          <w:rFonts w:ascii="Verdana" w:hAnsi="Verdana" w:cs="Times New Roman"/>
          <w:sz w:val="20"/>
          <w:szCs w:val="20"/>
        </w:rPr>
        <w:t>Sumber :</w:t>
      </w:r>
      <w:proofErr w:type="gramEnd"/>
      <w:r w:rsidRPr="00C15BBA">
        <w:rPr>
          <w:rFonts w:ascii="Verdana" w:hAnsi="Verdana" w:cs="Times New Roman"/>
          <w:sz w:val="20"/>
          <w:szCs w:val="20"/>
        </w:rPr>
        <w:t xml:space="preserve"> Data Sekunder, 2022</w:t>
      </w:r>
    </w:p>
    <w:p w14:paraId="410C3D15" w14:textId="77777777" w:rsidR="00C3492A" w:rsidRDefault="00C3492A" w:rsidP="00784AC2">
      <w:pPr>
        <w:spacing w:after="0" w:line="240" w:lineRule="auto"/>
        <w:ind w:firstLine="720"/>
        <w:jc w:val="both"/>
        <w:rPr>
          <w:rFonts w:ascii="Verdana" w:hAnsi="Verdana" w:cs="Times New Roman"/>
          <w:sz w:val="20"/>
          <w:szCs w:val="20"/>
        </w:rPr>
      </w:pPr>
    </w:p>
    <w:p w14:paraId="459A74FF" w14:textId="77777777" w:rsidR="00C3492A" w:rsidRDefault="00C3492A" w:rsidP="00784AC2">
      <w:pPr>
        <w:spacing w:after="0" w:line="240" w:lineRule="auto"/>
        <w:ind w:firstLine="720"/>
        <w:jc w:val="both"/>
        <w:rPr>
          <w:rFonts w:ascii="Verdana" w:hAnsi="Verdana" w:cs="Times New Roman"/>
          <w:sz w:val="20"/>
          <w:szCs w:val="20"/>
        </w:rPr>
        <w:sectPr w:rsidR="00C3492A" w:rsidSect="00C3492A">
          <w:type w:val="continuous"/>
          <w:pgSz w:w="11907" w:h="16839" w:code="9"/>
          <w:pgMar w:top="1418" w:right="1418" w:bottom="1418" w:left="1418" w:header="720" w:footer="720" w:gutter="0"/>
          <w:cols w:space="720"/>
          <w:docGrid w:linePitch="360"/>
        </w:sectPr>
      </w:pPr>
    </w:p>
    <w:p w14:paraId="7F84DAFE" w14:textId="2B1E360C" w:rsidR="004615B3" w:rsidRPr="00C15BBA" w:rsidRDefault="00E70C91" w:rsidP="00784AC2">
      <w:pPr>
        <w:spacing w:after="0" w:line="240" w:lineRule="auto"/>
        <w:ind w:firstLine="720"/>
        <w:jc w:val="both"/>
        <w:rPr>
          <w:rFonts w:ascii="Verdana" w:hAnsi="Verdana" w:cs="Times New Roman"/>
          <w:sz w:val="20"/>
          <w:szCs w:val="20"/>
        </w:rPr>
      </w:pPr>
      <w:proofErr w:type="gramStart"/>
      <w:r w:rsidRPr="00C15BBA">
        <w:rPr>
          <w:rFonts w:ascii="Verdana" w:hAnsi="Verdana" w:cs="Times New Roman"/>
          <w:sz w:val="20"/>
          <w:szCs w:val="20"/>
        </w:rPr>
        <w:lastRenderedPageBreak/>
        <w:t>Berdasarkan analisis univariat dapat diketahui data pasien demam tifoid terhadap 150 pasien, didapatkan hasil frekuensi terbanyak yaitu jenis kelamin perempuan sebanyak 90 (60%) orang.</w:t>
      </w:r>
      <w:proofErr w:type="gramEnd"/>
      <w:r w:rsidRPr="00C15BBA">
        <w:rPr>
          <w:rFonts w:ascii="Verdana" w:hAnsi="Verdana" w:cs="Times New Roman"/>
          <w:sz w:val="20"/>
          <w:szCs w:val="20"/>
        </w:rPr>
        <w:t xml:space="preserve"> Dan kemudian jika dilihat dari </w:t>
      </w:r>
      <w:r w:rsidRPr="00C15BBA">
        <w:rPr>
          <w:rFonts w:ascii="Verdana" w:hAnsi="Verdana" w:cs="Times New Roman"/>
          <w:sz w:val="20"/>
          <w:szCs w:val="20"/>
        </w:rPr>
        <w:lastRenderedPageBreak/>
        <w:t>data</w:t>
      </w:r>
      <w:r w:rsidR="00512CF4">
        <w:rPr>
          <w:rFonts w:ascii="Verdana" w:hAnsi="Verdana" w:cs="Times New Roman"/>
          <w:sz w:val="20"/>
          <w:szCs w:val="20"/>
        </w:rPr>
        <w:t xml:space="preserve"> berdasarkan usia pada tabel 1</w:t>
      </w:r>
      <w:r w:rsidRPr="00C15BBA">
        <w:rPr>
          <w:rFonts w:ascii="Verdana" w:hAnsi="Verdana" w:cs="Times New Roman"/>
          <w:sz w:val="20"/>
          <w:szCs w:val="20"/>
        </w:rPr>
        <w:t>, maka pasien demam tifoid terbanyak ialah pasien dengan usia 17-25 tahun yaitu sebanyak 43 pasien atau sebesar (28</w:t>
      </w:r>
      <w:proofErr w:type="gramStart"/>
      <w:r w:rsidRPr="00C15BBA">
        <w:rPr>
          <w:rFonts w:ascii="Verdana" w:hAnsi="Verdana" w:cs="Times New Roman"/>
          <w:sz w:val="20"/>
          <w:szCs w:val="20"/>
        </w:rPr>
        <w:t>,7</w:t>
      </w:r>
      <w:proofErr w:type="gramEnd"/>
      <w:r w:rsidRPr="00C15BBA">
        <w:rPr>
          <w:rFonts w:ascii="Verdana" w:hAnsi="Verdana" w:cs="Times New Roman"/>
          <w:sz w:val="20"/>
          <w:szCs w:val="20"/>
        </w:rPr>
        <w:t>%).</w:t>
      </w:r>
    </w:p>
    <w:p w14:paraId="6F2DEC99" w14:textId="77777777" w:rsidR="00C3492A" w:rsidRDefault="00C3492A" w:rsidP="00FA4992">
      <w:pPr>
        <w:spacing w:after="0" w:line="240" w:lineRule="auto"/>
        <w:ind w:left="1800" w:hanging="1080"/>
        <w:jc w:val="both"/>
        <w:rPr>
          <w:rFonts w:ascii="Verdana" w:hAnsi="Verdana" w:cs="Times New Roman"/>
          <w:b/>
          <w:sz w:val="20"/>
          <w:szCs w:val="20"/>
        </w:rPr>
        <w:sectPr w:rsidR="00C3492A" w:rsidSect="00C3492A">
          <w:type w:val="continuous"/>
          <w:pgSz w:w="11907" w:h="16839" w:code="9"/>
          <w:pgMar w:top="1418" w:right="1418" w:bottom="1418" w:left="1418" w:header="720" w:footer="720" w:gutter="0"/>
          <w:cols w:num="2" w:space="720"/>
          <w:docGrid w:linePitch="360"/>
        </w:sectPr>
      </w:pPr>
    </w:p>
    <w:p w14:paraId="6E0E1815" w14:textId="77777777" w:rsidR="00C3492A" w:rsidRDefault="00C3492A" w:rsidP="00FA4992">
      <w:pPr>
        <w:spacing w:after="0" w:line="240" w:lineRule="auto"/>
        <w:ind w:left="1800" w:hanging="1080"/>
        <w:jc w:val="both"/>
        <w:rPr>
          <w:rFonts w:ascii="Verdana" w:hAnsi="Verdana" w:cs="Times New Roman"/>
          <w:b/>
          <w:sz w:val="20"/>
          <w:szCs w:val="20"/>
        </w:rPr>
      </w:pPr>
    </w:p>
    <w:p w14:paraId="6293C41B" w14:textId="77777777" w:rsidR="00E70C91" w:rsidRPr="00C15BBA" w:rsidRDefault="00E70C91" w:rsidP="00FA4992">
      <w:pPr>
        <w:spacing w:after="0" w:line="240" w:lineRule="auto"/>
        <w:ind w:left="1800" w:hanging="1080"/>
        <w:jc w:val="both"/>
        <w:rPr>
          <w:rFonts w:ascii="Verdana" w:hAnsi="Verdana" w:cs="Times New Roman"/>
          <w:b/>
          <w:sz w:val="20"/>
          <w:szCs w:val="20"/>
        </w:rPr>
      </w:pPr>
      <w:proofErr w:type="gramStart"/>
      <w:r w:rsidRPr="00C15BBA">
        <w:rPr>
          <w:rFonts w:ascii="Verdana" w:hAnsi="Verdana" w:cs="Times New Roman"/>
          <w:b/>
          <w:sz w:val="20"/>
          <w:szCs w:val="20"/>
        </w:rPr>
        <w:t xml:space="preserve">Tabel </w:t>
      </w:r>
      <w:r w:rsidR="00AF506E" w:rsidRPr="00C15BBA">
        <w:rPr>
          <w:rFonts w:ascii="Verdana" w:hAnsi="Verdana" w:cs="Times New Roman"/>
          <w:b/>
          <w:sz w:val="20"/>
          <w:szCs w:val="20"/>
        </w:rPr>
        <w:t>2.</w:t>
      </w:r>
      <w:proofErr w:type="gramEnd"/>
      <w:r w:rsidR="00AF506E" w:rsidRPr="00C15BBA">
        <w:rPr>
          <w:rFonts w:ascii="Verdana" w:hAnsi="Verdana" w:cs="Times New Roman"/>
          <w:b/>
          <w:sz w:val="20"/>
          <w:szCs w:val="20"/>
        </w:rPr>
        <w:t xml:space="preserve"> </w:t>
      </w:r>
      <w:r w:rsidRPr="00C15BBA">
        <w:rPr>
          <w:rFonts w:ascii="Verdana" w:hAnsi="Verdana" w:cs="Times New Roman"/>
          <w:b/>
          <w:sz w:val="20"/>
          <w:szCs w:val="20"/>
        </w:rPr>
        <w:t>Gambaran Derajat Kepositifan Tubex TF Pada Pasien Demam Tifoid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773"/>
        <w:gridCol w:w="2773"/>
      </w:tblGrid>
      <w:tr w:rsidR="00E70C91" w:rsidRPr="00C15BBA" w14:paraId="6CD5A155" w14:textId="77777777" w:rsidTr="00FA4992">
        <w:trPr>
          <w:trHeight w:val="258"/>
        </w:trPr>
        <w:tc>
          <w:tcPr>
            <w:tcW w:w="2773" w:type="dxa"/>
            <w:tcBorders>
              <w:top w:val="single" w:sz="4" w:space="0" w:color="auto"/>
              <w:left w:val="nil"/>
              <w:bottom w:val="single" w:sz="4" w:space="0" w:color="auto"/>
              <w:right w:val="nil"/>
            </w:tcBorders>
            <w:hideMark/>
          </w:tcPr>
          <w:p w14:paraId="59D72197" w14:textId="77777777" w:rsidR="00E70C91" w:rsidRPr="00C15BBA" w:rsidRDefault="00E70C91" w:rsidP="00FA4992">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Hasil Tubex</w:t>
            </w:r>
          </w:p>
        </w:tc>
        <w:tc>
          <w:tcPr>
            <w:tcW w:w="2773" w:type="dxa"/>
            <w:tcBorders>
              <w:top w:val="single" w:sz="4" w:space="0" w:color="auto"/>
              <w:left w:val="nil"/>
              <w:bottom w:val="single" w:sz="4" w:space="0" w:color="auto"/>
              <w:right w:val="nil"/>
            </w:tcBorders>
            <w:hideMark/>
          </w:tcPr>
          <w:p w14:paraId="2D307945" w14:textId="77777777" w:rsidR="00E70C91" w:rsidRPr="00C15BBA" w:rsidRDefault="00E70C91" w:rsidP="00FA4992">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Frekuensi (n)</w:t>
            </w:r>
          </w:p>
        </w:tc>
        <w:tc>
          <w:tcPr>
            <w:tcW w:w="2773" w:type="dxa"/>
            <w:tcBorders>
              <w:top w:val="single" w:sz="4" w:space="0" w:color="auto"/>
              <w:left w:val="nil"/>
              <w:bottom w:val="single" w:sz="4" w:space="0" w:color="auto"/>
              <w:right w:val="nil"/>
            </w:tcBorders>
            <w:hideMark/>
          </w:tcPr>
          <w:p w14:paraId="37A9169F" w14:textId="37313C8A" w:rsidR="00E70C91" w:rsidRPr="00C15BBA" w:rsidRDefault="00FA4992" w:rsidP="00FA4992">
            <w:pPr>
              <w:spacing w:after="0" w:line="240" w:lineRule="auto"/>
              <w:ind w:firstLine="720"/>
              <w:jc w:val="both"/>
              <w:rPr>
                <w:rFonts w:ascii="Verdana" w:hAnsi="Verdana" w:cs="Times New Roman"/>
                <w:b/>
                <w:sz w:val="20"/>
                <w:szCs w:val="20"/>
              </w:rPr>
            </w:pPr>
            <w:r>
              <w:rPr>
                <w:rFonts w:ascii="Verdana" w:hAnsi="Verdana" w:cs="Times New Roman"/>
                <w:b/>
                <w:sz w:val="20"/>
                <w:szCs w:val="20"/>
              </w:rPr>
              <w:t xml:space="preserve">Persentase </w:t>
            </w:r>
            <w:r w:rsidR="00E70C91" w:rsidRPr="00C15BBA">
              <w:rPr>
                <w:rFonts w:ascii="Verdana" w:hAnsi="Verdana" w:cs="Times New Roman"/>
                <w:b/>
                <w:sz w:val="20"/>
                <w:szCs w:val="20"/>
              </w:rPr>
              <w:t>(%)</w:t>
            </w:r>
          </w:p>
        </w:tc>
      </w:tr>
      <w:tr w:rsidR="00FA4992" w:rsidRPr="00C15BBA" w14:paraId="054385C4" w14:textId="77777777" w:rsidTr="00FA4992">
        <w:trPr>
          <w:trHeight w:val="258"/>
        </w:trPr>
        <w:tc>
          <w:tcPr>
            <w:tcW w:w="2773" w:type="dxa"/>
            <w:tcBorders>
              <w:top w:val="nil"/>
              <w:left w:val="nil"/>
              <w:bottom w:val="nil"/>
              <w:right w:val="nil"/>
            </w:tcBorders>
            <w:hideMark/>
          </w:tcPr>
          <w:p w14:paraId="5A9B3655" w14:textId="77777777"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4-5</w:t>
            </w:r>
          </w:p>
        </w:tc>
        <w:tc>
          <w:tcPr>
            <w:tcW w:w="2773" w:type="dxa"/>
            <w:tcBorders>
              <w:top w:val="nil"/>
              <w:left w:val="nil"/>
              <w:bottom w:val="nil"/>
              <w:right w:val="nil"/>
            </w:tcBorders>
            <w:hideMark/>
          </w:tcPr>
          <w:p w14:paraId="0F804FD8" w14:textId="77777777"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124</w:t>
            </w:r>
          </w:p>
        </w:tc>
        <w:tc>
          <w:tcPr>
            <w:tcW w:w="2773" w:type="dxa"/>
            <w:vMerge w:val="restart"/>
            <w:tcBorders>
              <w:top w:val="nil"/>
              <w:left w:val="nil"/>
              <w:right w:val="nil"/>
            </w:tcBorders>
            <w:hideMark/>
          </w:tcPr>
          <w:p w14:paraId="13E6B55C" w14:textId="77777777"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82,7%</w:t>
            </w:r>
          </w:p>
          <w:p w14:paraId="4883D9B3" w14:textId="14C854C1"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17,3%</w:t>
            </w:r>
          </w:p>
        </w:tc>
      </w:tr>
      <w:tr w:rsidR="00FA4992" w:rsidRPr="00C15BBA" w14:paraId="691D6620" w14:textId="77777777" w:rsidTr="00FA4992">
        <w:trPr>
          <w:trHeight w:val="129"/>
        </w:trPr>
        <w:tc>
          <w:tcPr>
            <w:tcW w:w="2773" w:type="dxa"/>
            <w:tcBorders>
              <w:top w:val="nil"/>
              <w:left w:val="nil"/>
              <w:bottom w:val="single" w:sz="4" w:space="0" w:color="auto"/>
              <w:right w:val="nil"/>
            </w:tcBorders>
            <w:hideMark/>
          </w:tcPr>
          <w:p w14:paraId="0A6F6C99" w14:textId="77777777"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≥6</w:t>
            </w:r>
          </w:p>
        </w:tc>
        <w:tc>
          <w:tcPr>
            <w:tcW w:w="2773" w:type="dxa"/>
            <w:tcBorders>
              <w:top w:val="nil"/>
              <w:left w:val="nil"/>
              <w:bottom w:val="single" w:sz="4" w:space="0" w:color="auto"/>
              <w:right w:val="nil"/>
            </w:tcBorders>
            <w:hideMark/>
          </w:tcPr>
          <w:p w14:paraId="6FA5EC7E" w14:textId="77777777" w:rsidR="00FA4992" w:rsidRPr="00C15BBA" w:rsidRDefault="00FA4992"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26</w:t>
            </w:r>
          </w:p>
        </w:tc>
        <w:tc>
          <w:tcPr>
            <w:tcW w:w="2773" w:type="dxa"/>
            <w:vMerge/>
            <w:tcBorders>
              <w:left w:val="nil"/>
              <w:bottom w:val="single" w:sz="4" w:space="0" w:color="auto"/>
              <w:right w:val="nil"/>
            </w:tcBorders>
            <w:hideMark/>
          </w:tcPr>
          <w:p w14:paraId="4B6E7F7B" w14:textId="53D7ABCD" w:rsidR="00FA4992" w:rsidRPr="00C15BBA" w:rsidRDefault="00FA4992" w:rsidP="00FA4992">
            <w:pPr>
              <w:spacing w:after="0" w:line="240" w:lineRule="auto"/>
              <w:ind w:firstLine="720"/>
              <w:jc w:val="both"/>
              <w:rPr>
                <w:rFonts w:ascii="Verdana" w:hAnsi="Verdana" w:cs="Times New Roman"/>
                <w:sz w:val="20"/>
                <w:szCs w:val="20"/>
              </w:rPr>
            </w:pPr>
          </w:p>
        </w:tc>
      </w:tr>
      <w:tr w:rsidR="00FA4992" w:rsidRPr="00C15BBA" w14:paraId="03C7E7B1" w14:textId="77777777" w:rsidTr="00FA4992">
        <w:trPr>
          <w:trHeight w:val="145"/>
        </w:trPr>
        <w:tc>
          <w:tcPr>
            <w:tcW w:w="2773" w:type="dxa"/>
            <w:tcBorders>
              <w:top w:val="single" w:sz="4" w:space="0" w:color="auto"/>
              <w:left w:val="nil"/>
              <w:bottom w:val="single" w:sz="4" w:space="0" w:color="auto"/>
              <w:right w:val="nil"/>
            </w:tcBorders>
          </w:tcPr>
          <w:p w14:paraId="12E7D35B" w14:textId="5DFFF470" w:rsidR="00FA4992" w:rsidRPr="00FA4992" w:rsidRDefault="00FA4992" w:rsidP="00FA4992">
            <w:pPr>
              <w:spacing w:after="0" w:line="240" w:lineRule="auto"/>
              <w:ind w:firstLine="720"/>
              <w:jc w:val="both"/>
              <w:rPr>
                <w:rFonts w:ascii="Verdana" w:hAnsi="Verdana" w:cs="Times New Roman"/>
                <w:b/>
                <w:sz w:val="20"/>
                <w:szCs w:val="20"/>
              </w:rPr>
            </w:pPr>
            <w:r w:rsidRPr="00FA4992">
              <w:rPr>
                <w:rFonts w:ascii="Verdana" w:hAnsi="Verdana" w:cs="Times New Roman"/>
                <w:b/>
                <w:sz w:val="20"/>
                <w:szCs w:val="20"/>
              </w:rPr>
              <w:t xml:space="preserve">Total </w:t>
            </w:r>
          </w:p>
        </w:tc>
        <w:tc>
          <w:tcPr>
            <w:tcW w:w="2773" w:type="dxa"/>
            <w:tcBorders>
              <w:top w:val="single" w:sz="4" w:space="0" w:color="auto"/>
              <w:left w:val="nil"/>
              <w:bottom w:val="single" w:sz="4" w:space="0" w:color="auto"/>
              <w:right w:val="nil"/>
            </w:tcBorders>
          </w:tcPr>
          <w:p w14:paraId="62A3F9F0" w14:textId="5E879B46" w:rsidR="00FA4992" w:rsidRPr="00FA4992" w:rsidRDefault="00FA4992" w:rsidP="00FA4992">
            <w:pPr>
              <w:spacing w:after="0" w:line="240" w:lineRule="auto"/>
              <w:ind w:firstLine="720"/>
              <w:jc w:val="both"/>
              <w:rPr>
                <w:rFonts w:ascii="Verdana" w:hAnsi="Verdana" w:cs="Times New Roman"/>
                <w:b/>
                <w:sz w:val="20"/>
                <w:szCs w:val="20"/>
              </w:rPr>
            </w:pPr>
            <w:r w:rsidRPr="00FA4992">
              <w:rPr>
                <w:rFonts w:ascii="Verdana" w:hAnsi="Verdana" w:cs="Times New Roman"/>
                <w:b/>
                <w:sz w:val="20"/>
                <w:szCs w:val="20"/>
              </w:rPr>
              <w:t>150</w:t>
            </w:r>
          </w:p>
        </w:tc>
        <w:tc>
          <w:tcPr>
            <w:tcW w:w="2773" w:type="dxa"/>
            <w:tcBorders>
              <w:top w:val="single" w:sz="4" w:space="0" w:color="auto"/>
              <w:left w:val="nil"/>
              <w:bottom w:val="single" w:sz="4" w:space="0" w:color="auto"/>
              <w:right w:val="nil"/>
            </w:tcBorders>
          </w:tcPr>
          <w:p w14:paraId="47B848A6" w14:textId="53D091F4" w:rsidR="00FA4992" w:rsidRPr="00FA4992" w:rsidRDefault="00FA4992" w:rsidP="00FA4992">
            <w:pPr>
              <w:spacing w:after="0" w:line="240" w:lineRule="auto"/>
              <w:ind w:firstLine="720"/>
              <w:jc w:val="both"/>
              <w:rPr>
                <w:rFonts w:ascii="Verdana" w:hAnsi="Verdana" w:cs="Times New Roman"/>
                <w:b/>
                <w:sz w:val="20"/>
                <w:szCs w:val="20"/>
              </w:rPr>
            </w:pPr>
            <w:r w:rsidRPr="00FA4992">
              <w:rPr>
                <w:rFonts w:ascii="Verdana" w:hAnsi="Verdana" w:cs="Times New Roman"/>
                <w:b/>
                <w:sz w:val="20"/>
                <w:szCs w:val="20"/>
              </w:rPr>
              <w:t>100%</w:t>
            </w:r>
          </w:p>
        </w:tc>
      </w:tr>
    </w:tbl>
    <w:p w14:paraId="27E3CEAA" w14:textId="77777777" w:rsidR="00E70C91" w:rsidRPr="00C15BBA" w:rsidRDefault="00E70C91" w:rsidP="00FA4992">
      <w:pPr>
        <w:spacing w:after="0" w:line="240" w:lineRule="auto"/>
        <w:ind w:firstLine="720"/>
        <w:jc w:val="center"/>
        <w:rPr>
          <w:rFonts w:ascii="Verdana" w:hAnsi="Verdana" w:cs="Times New Roman"/>
          <w:sz w:val="20"/>
          <w:szCs w:val="20"/>
        </w:rPr>
      </w:pPr>
      <w:proofErr w:type="gramStart"/>
      <w:r w:rsidRPr="00C15BBA">
        <w:rPr>
          <w:rFonts w:ascii="Verdana" w:hAnsi="Verdana" w:cs="Times New Roman"/>
          <w:sz w:val="20"/>
          <w:szCs w:val="20"/>
        </w:rPr>
        <w:t>Sumber :</w:t>
      </w:r>
      <w:proofErr w:type="gramEnd"/>
      <w:r w:rsidRPr="00C15BBA">
        <w:rPr>
          <w:rFonts w:ascii="Verdana" w:hAnsi="Verdana" w:cs="Times New Roman"/>
          <w:sz w:val="20"/>
          <w:szCs w:val="20"/>
        </w:rPr>
        <w:t xml:space="preserve"> Data Sekunder, 2022</w:t>
      </w:r>
    </w:p>
    <w:p w14:paraId="117CC388" w14:textId="77777777" w:rsidR="00C3492A" w:rsidRDefault="00C3492A" w:rsidP="00784AC2">
      <w:pPr>
        <w:spacing w:after="0" w:line="240" w:lineRule="auto"/>
        <w:ind w:firstLine="720"/>
        <w:jc w:val="both"/>
        <w:rPr>
          <w:rFonts w:ascii="Verdana" w:hAnsi="Verdana" w:cs="Times New Roman"/>
          <w:sz w:val="20"/>
          <w:szCs w:val="20"/>
        </w:rPr>
      </w:pPr>
    </w:p>
    <w:p w14:paraId="2DBEDAD6" w14:textId="77777777" w:rsidR="00C3492A" w:rsidRDefault="00C3492A" w:rsidP="00784AC2">
      <w:pPr>
        <w:spacing w:after="0" w:line="240" w:lineRule="auto"/>
        <w:ind w:firstLine="720"/>
        <w:jc w:val="both"/>
        <w:rPr>
          <w:rFonts w:ascii="Verdana" w:hAnsi="Verdana" w:cs="Times New Roman"/>
          <w:sz w:val="20"/>
          <w:szCs w:val="20"/>
        </w:rPr>
        <w:sectPr w:rsidR="00C3492A" w:rsidSect="00C3492A">
          <w:type w:val="continuous"/>
          <w:pgSz w:w="11907" w:h="16839" w:code="9"/>
          <w:pgMar w:top="1418" w:right="1418" w:bottom="1418" w:left="1418" w:header="720" w:footer="720" w:gutter="0"/>
          <w:cols w:space="720"/>
          <w:docGrid w:linePitch="360"/>
        </w:sectPr>
      </w:pPr>
    </w:p>
    <w:p w14:paraId="26D239DC" w14:textId="4FDAA1C4" w:rsidR="004615B3" w:rsidRPr="00C15BBA" w:rsidRDefault="002E1753" w:rsidP="00784AC2">
      <w:pPr>
        <w:spacing w:after="0" w:line="240" w:lineRule="auto"/>
        <w:ind w:firstLine="720"/>
        <w:jc w:val="both"/>
        <w:rPr>
          <w:rFonts w:ascii="Verdana" w:hAnsi="Verdana" w:cs="Times New Roman"/>
          <w:sz w:val="20"/>
          <w:szCs w:val="20"/>
        </w:rPr>
      </w:pPr>
      <w:r>
        <w:rPr>
          <w:rFonts w:ascii="Verdana" w:hAnsi="Verdana" w:cs="Times New Roman"/>
          <w:sz w:val="20"/>
          <w:szCs w:val="20"/>
        </w:rPr>
        <w:lastRenderedPageBreak/>
        <w:t xml:space="preserve">Berdasarkan tabel 2, </w:t>
      </w:r>
      <w:r w:rsidR="00E70C91" w:rsidRPr="00C15BBA">
        <w:rPr>
          <w:rFonts w:ascii="Verdana" w:hAnsi="Verdana" w:cs="Times New Roman"/>
          <w:sz w:val="20"/>
          <w:szCs w:val="20"/>
        </w:rPr>
        <w:t xml:space="preserve">didapatkan bahwa distribusi frekuensi demam tifoid </w:t>
      </w:r>
      <w:r w:rsidR="00E70C91" w:rsidRPr="00C15BBA">
        <w:rPr>
          <w:rFonts w:ascii="Verdana" w:hAnsi="Verdana" w:cs="Times New Roman"/>
          <w:sz w:val="20"/>
          <w:szCs w:val="20"/>
        </w:rPr>
        <w:lastRenderedPageBreak/>
        <w:t>berdasarkan hasil tubex paling banyak pada 4-5 sebanyak 124 orang (82</w:t>
      </w:r>
      <w:proofErr w:type="gramStart"/>
      <w:r w:rsidR="00E70C91" w:rsidRPr="00C15BBA">
        <w:rPr>
          <w:rFonts w:ascii="Verdana" w:hAnsi="Verdana" w:cs="Times New Roman"/>
          <w:sz w:val="20"/>
          <w:szCs w:val="20"/>
        </w:rPr>
        <w:t>,7</w:t>
      </w:r>
      <w:proofErr w:type="gramEnd"/>
      <w:r w:rsidR="00E70C91" w:rsidRPr="00C15BBA">
        <w:rPr>
          <w:rFonts w:ascii="Verdana" w:hAnsi="Verdana" w:cs="Times New Roman"/>
          <w:sz w:val="20"/>
          <w:szCs w:val="20"/>
        </w:rPr>
        <w:t>%).</w:t>
      </w:r>
    </w:p>
    <w:p w14:paraId="35DD0ED5" w14:textId="77777777" w:rsidR="00C3492A" w:rsidRDefault="00C3492A" w:rsidP="00FA4992">
      <w:pPr>
        <w:spacing w:after="0" w:line="240" w:lineRule="auto"/>
        <w:ind w:firstLine="720"/>
        <w:jc w:val="both"/>
        <w:rPr>
          <w:rFonts w:ascii="Verdana" w:hAnsi="Verdana" w:cs="Times New Roman"/>
          <w:b/>
          <w:sz w:val="20"/>
          <w:szCs w:val="20"/>
        </w:rPr>
        <w:sectPr w:rsidR="00C3492A" w:rsidSect="00C3492A">
          <w:type w:val="continuous"/>
          <w:pgSz w:w="11907" w:h="16839" w:code="9"/>
          <w:pgMar w:top="1418" w:right="1418" w:bottom="1418" w:left="1418" w:header="720" w:footer="720" w:gutter="0"/>
          <w:cols w:num="2" w:space="720"/>
          <w:docGrid w:linePitch="360"/>
        </w:sectPr>
      </w:pPr>
    </w:p>
    <w:p w14:paraId="0DDE0B4D" w14:textId="77777777" w:rsidR="00C3492A" w:rsidRDefault="00C3492A" w:rsidP="00FA4992">
      <w:pPr>
        <w:spacing w:after="0" w:line="240" w:lineRule="auto"/>
        <w:ind w:firstLine="720"/>
        <w:jc w:val="both"/>
        <w:rPr>
          <w:rFonts w:ascii="Verdana" w:hAnsi="Verdana" w:cs="Times New Roman"/>
          <w:b/>
          <w:sz w:val="20"/>
          <w:szCs w:val="20"/>
        </w:rPr>
      </w:pPr>
    </w:p>
    <w:p w14:paraId="2E1F6E88" w14:textId="7A65FE63" w:rsidR="00E70C91" w:rsidRPr="00C15BBA" w:rsidRDefault="00E70C91" w:rsidP="00FA4992">
      <w:pPr>
        <w:spacing w:after="0" w:line="240" w:lineRule="auto"/>
        <w:ind w:firstLine="720"/>
        <w:jc w:val="both"/>
        <w:rPr>
          <w:rFonts w:ascii="Verdana" w:hAnsi="Verdana" w:cs="Times New Roman"/>
          <w:b/>
          <w:sz w:val="20"/>
          <w:szCs w:val="20"/>
        </w:rPr>
      </w:pPr>
      <w:proofErr w:type="gramStart"/>
      <w:r w:rsidRPr="00C15BBA">
        <w:rPr>
          <w:rFonts w:ascii="Verdana" w:hAnsi="Verdana" w:cs="Times New Roman"/>
          <w:b/>
          <w:sz w:val="20"/>
          <w:szCs w:val="20"/>
        </w:rPr>
        <w:t xml:space="preserve">Tabel </w:t>
      </w:r>
      <w:r w:rsidR="00AF506E" w:rsidRPr="00C15BBA">
        <w:rPr>
          <w:rFonts w:ascii="Verdana" w:hAnsi="Verdana" w:cs="Times New Roman"/>
          <w:b/>
          <w:sz w:val="20"/>
          <w:szCs w:val="20"/>
        </w:rPr>
        <w:t>3.</w:t>
      </w:r>
      <w:proofErr w:type="gramEnd"/>
      <w:r w:rsidR="00AF506E" w:rsidRPr="00C15BBA">
        <w:rPr>
          <w:rFonts w:ascii="Verdana" w:hAnsi="Verdana" w:cs="Times New Roman"/>
          <w:b/>
          <w:sz w:val="20"/>
          <w:szCs w:val="20"/>
        </w:rPr>
        <w:t xml:space="preserve"> </w:t>
      </w:r>
      <w:r w:rsidRPr="00C15BBA">
        <w:rPr>
          <w:rFonts w:ascii="Verdana" w:hAnsi="Verdana" w:cs="Times New Roman"/>
          <w:b/>
          <w:sz w:val="20"/>
          <w:szCs w:val="20"/>
        </w:rPr>
        <w:t>Gambaran Angka Leukosit Pada Pasien Demam Tifoid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783"/>
        <w:gridCol w:w="2783"/>
      </w:tblGrid>
      <w:tr w:rsidR="00E70C91" w:rsidRPr="00C15BBA" w14:paraId="1DB9D242" w14:textId="77777777" w:rsidTr="00FA4992">
        <w:trPr>
          <w:trHeight w:val="254"/>
        </w:trPr>
        <w:tc>
          <w:tcPr>
            <w:tcW w:w="2783" w:type="dxa"/>
            <w:tcBorders>
              <w:top w:val="single" w:sz="4" w:space="0" w:color="auto"/>
              <w:left w:val="nil"/>
              <w:bottom w:val="single" w:sz="4" w:space="0" w:color="auto"/>
              <w:right w:val="nil"/>
            </w:tcBorders>
            <w:hideMark/>
          </w:tcPr>
          <w:p w14:paraId="06E016CD" w14:textId="77777777" w:rsidR="00E70C91" w:rsidRPr="00C15BBA" w:rsidRDefault="00E70C91" w:rsidP="00FA4992">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Leukosit</w:t>
            </w:r>
          </w:p>
        </w:tc>
        <w:tc>
          <w:tcPr>
            <w:tcW w:w="2783" w:type="dxa"/>
            <w:tcBorders>
              <w:top w:val="single" w:sz="4" w:space="0" w:color="auto"/>
              <w:left w:val="nil"/>
              <w:bottom w:val="single" w:sz="4" w:space="0" w:color="auto"/>
              <w:right w:val="nil"/>
            </w:tcBorders>
            <w:hideMark/>
          </w:tcPr>
          <w:p w14:paraId="5DD75D36" w14:textId="77777777" w:rsidR="00E70C91" w:rsidRPr="00C15BBA" w:rsidRDefault="00E70C91" w:rsidP="00FA4992">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Frekuensi (n)</w:t>
            </w:r>
          </w:p>
        </w:tc>
        <w:tc>
          <w:tcPr>
            <w:tcW w:w="2783" w:type="dxa"/>
            <w:tcBorders>
              <w:top w:val="single" w:sz="4" w:space="0" w:color="auto"/>
              <w:left w:val="nil"/>
              <w:bottom w:val="single" w:sz="4" w:space="0" w:color="auto"/>
              <w:right w:val="nil"/>
            </w:tcBorders>
            <w:hideMark/>
          </w:tcPr>
          <w:p w14:paraId="2A1FB6F0" w14:textId="76EC39D2" w:rsidR="00E70C91" w:rsidRPr="00C15BBA" w:rsidRDefault="00FA4992" w:rsidP="00FA4992">
            <w:pPr>
              <w:spacing w:after="0" w:line="240" w:lineRule="auto"/>
              <w:ind w:firstLine="720"/>
              <w:jc w:val="both"/>
              <w:rPr>
                <w:rFonts w:ascii="Verdana" w:hAnsi="Verdana" w:cs="Times New Roman"/>
                <w:b/>
                <w:sz w:val="20"/>
                <w:szCs w:val="20"/>
              </w:rPr>
            </w:pPr>
            <w:r>
              <w:rPr>
                <w:rFonts w:ascii="Verdana" w:hAnsi="Verdana" w:cs="Times New Roman"/>
                <w:b/>
                <w:sz w:val="20"/>
                <w:szCs w:val="20"/>
              </w:rPr>
              <w:t xml:space="preserve">Persentase </w:t>
            </w:r>
            <w:r w:rsidR="00E70C91" w:rsidRPr="00C15BBA">
              <w:rPr>
                <w:rFonts w:ascii="Verdana" w:hAnsi="Verdana" w:cs="Times New Roman"/>
                <w:b/>
                <w:sz w:val="20"/>
                <w:szCs w:val="20"/>
              </w:rPr>
              <w:t>(%)</w:t>
            </w:r>
          </w:p>
        </w:tc>
      </w:tr>
      <w:tr w:rsidR="00E70C91" w:rsidRPr="00C15BBA" w14:paraId="4F6C1697" w14:textId="77777777" w:rsidTr="00FA4992">
        <w:trPr>
          <w:trHeight w:val="254"/>
        </w:trPr>
        <w:tc>
          <w:tcPr>
            <w:tcW w:w="2783" w:type="dxa"/>
            <w:tcBorders>
              <w:top w:val="nil"/>
              <w:left w:val="nil"/>
              <w:bottom w:val="nil"/>
              <w:right w:val="nil"/>
            </w:tcBorders>
            <w:hideMark/>
          </w:tcPr>
          <w:p w14:paraId="7CC3E2DF"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Leukopenia</w:t>
            </w:r>
          </w:p>
        </w:tc>
        <w:tc>
          <w:tcPr>
            <w:tcW w:w="2783" w:type="dxa"/>
            <w:tcBorders>
              <w:top w:val="nil"/>
              <w:left w:val="nil"/>
              <w:bottom w:val="nil"/>
              <w:right w:val="nil"/>
            </w:tcBorders>
            <w:hideMark/>
          </w:tcPr>
          <w:p w14:paraId="01E38E5C"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15</w:t>
            </w:r>
          </w:p>
        </w:tc>
        <w:tc>
          <w:tcPr>
            <w:tcW w:w="2783" w:type="dxa"/>
            <w:tcBorders>
              <w:top w:val="nil"/>
              <w:left w:val="nil"/>
              <w:bottom w:val="nil"/>
              <w:right w:val="nil"/>
            </w:tcBorders>
            <w:hideMark/>
          </w:tcPr>
          <w:p w14:paraId="11D910F4"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10%</w:t>
            </w:r>
          </w:p>
        </w:tc>
      </w:tr>
      <w:tr w:rsidR="00E70C91" w:rsidRPr="00C15BBA" w14:paraId="5486BEC5" w14:textId="77777777" w:rsidTr="00FA4992">
        <w:trPr>
          <w:trHeight w:val="398"/>
        </w:trPr>
        <w:tc>
          <w:tcPr>
            <w:tcW w:w="2783" w:type="dxa"/>
            <w:tcBorders>
              <w:top w:val="nil"/>
              <w:left w:val="nil"/>
              <w:bottom w:val="single" w:sz="4" w:space="0" w:color="auto"/>
              <w:right w:val="nil"/>
            </w:tcBorders>
            <w:hideMark/>
          </w:tcPr>
          <w:p w14:paraId="00AB874F"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Normal</w:t>
            </w:r>
          </w:p>
          <w:p w14:paraId="4F729D1E"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Leukositosis </w:t>
            </w:r>
          </w:p>
        </w:tc>
        <w:tc>
          <w:tcPr>
            <w:tcW w:w="2783" w:type="dxa"/>
            <w:tcBorders>
              <w:top w:val="nil"/>
              <w:left w:val="nil"/>
              <w:bottom w:val="single" w:sz="4" w:space="0" w:color="auto"/>
              <w:right w:val="nil"/>
            </w:tcBorders>
            <w:hideMark/>
          </w:tcPr>
          <w:p w14:paraId="7B02634F"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117</w:t>
            </w:r>
          </w:p>
          <w:p w14:paraId="25A8CA15"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18</w:t>
            </w:r>
          </w:p>
        </w:tc>
        <w:tc>
          <w:tcPr>
            <w:tcW w:w="2783" w:type="dxa"/>
            <w:tcBorders>
              <w:top w:val="nil"/>
              <w:left w:val="nil"/>
              <w:bottom w:val="single" w:sz="4" w:space="0" w:color="auto"/>
              <w:right w:val="nil"/>
            </w:tcBorders>
            <w:hideMark/>
          </w:tcPr>
          <w:p w14:paraId="575D4F2F"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78%</w:t>
            </w:r>
          </w:p>
          <w:p w14:paraId="31B3A9D3" w14:textId="77777777" w:rsidR="00E70C91" w:rsidRPr="00C15BBA"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12%</w:t>
            </w:r>
          </w:p>
        </w:tc>
      </w:tr>
      <w:tr w:rsidR="00FA4992" w:rsidRPr="00C15BBA" w14:paraId="0A2721C1" w14:textId="77777777" w:rsidTr="00FA4992">
        <w:trPr>
          <w:trHeight w:val="127"/>
        </w:trPr>
        <w:tc>
          <w:tcPr>
            <w:tcW w:w="2783" w:type="dxa"/>
            <w:tcBorders>
              <w:top w:val="single" w:sz="4" w:space="0" w:color="auto"/>
              <w:left w:val="nil"/>
              <w:bottom w:val="single" w:sz="4" w:space="0" w:color="auto"/>
              <w:right w:val="nil"/>
            </w:tcBorders>
          </w:tcPr>
          <w:p w14:paraId="5C1F1336" w14:textId="3CE89ADA" w:rsidR="00FA4992" w:rsidRPr="00FA4992" w:rsidRDefault="00FA4992" w:rsidP="00FA4992">
            <w:pPr>
              <w:spacing w:after="0" w:line="240" w:lineRule="auto"/>
              <w:ind w:firstLine="720"/>
              <w:jc w:val="both"/>
              <w:rPr>
                <w:rFonts w:ascii="Verdana" w:hAnsi="Verdana" w:cstheme="majorHAnsi"/>
                <w:b/>
                <w:sz w:val="20"/>
                <w:szCs w:val="20"/>
              </w:rPr>
            </w:pPr>
            <w:r w:rsidRPr="00FA4992">
              <w:rPr>
                <w:rFonts w:ascii="Verdana" w:hAnsi="Verdana" w:cstheme="majorHAnsi"/>
                <w:b/>
                <w:sz w:val="20"/>
                <w:szCs w:val="20"/>
              </w:rPr>
              <w:t xml:space="preserve">Total </w:t>
            </w:r>
          </w:p>
        </w:tc>
        <w:tc>
          <w:tcPr>
            <w:tcW w:w="2783" w:type="dxa"/>
            <w:tcBorders>
              <w:top w:val="single" w:sz="4" w:space="0" w:color="auto"/>
              <w:left w:val="nil"/>
              <w:bottom w:val="single" w:sz="4" w:space="0" w:color="auto"/>
              <w:right w:val="nil"/>
            </w:tcBorders>
          </w:tcPr>
          <w:p w14:paraId="2F30D456" w14:textId="7DA81300" w:rsidR="00FA4992" w:rsidRPr="00FA4992" w:rsidRDefault="00FA4992" w:rsidP="00FA4992">
            <w:pPr>
              <w:spacing w:after="0" w:line="240" w:lineRule="auto"/>
              <w:ind w:firstLine="720"/>
              <w:jc w:val="both"/>
              <w:rPr>
                <w:rFonts w:ascii="Verdana" w:hAnsi="Verdana" w:cstheme="majorHAnsi"/>
                <w:b/>
                <w:sz w:val="20"/>
                <w:szCs w:val="20"/>
              </w:rPr>
            </w:pPr>
            <w:r w:rsidRPr="00FA4992">
              <w:rPr>
                <w:rFonts w:ascii="Verdana" w:hAnsi="Verdana" w:cstheme="majorHAnsi"/>
                <w:b/>
                <w:sz w:val="20"/>
                <w:szCs w:val="20"/>
              </w:rPr>
              <w:t>150</w:t>
            </w:r>
          </w:p>
        </w:tc>
        <w:tc>
          <w:tcPr>
            <w:tcW w:w="2783" w:type="dxa"/>
            <w:tcBorders>
              <w:top w:val="single" w:sz="4" w:space="0" w:color="auto"/>
              <w:left w:val="nil"/>
              <w:bottom w:val="single" w:sz="4" w:space="0" w:color="auto"/>
              <w:right w:val="nil"/>
            </w:tcBorders>
          </w:tcPr>
          <w:p w14:paraId="7F4EB949" w14:textId="695EF3CC" w:rsidR="00FA4992" w:rsidRPr="00FA4992" w:rsidRDefault="00FA4992" w:rsidP="00FA4992">
            <w:pPr>
              <w:spacing w:after="0" w:line="240" w:lineRule="auto"/>
              <w:ind w:firstLine="720"/>
              <w:jc w:val="both"/>
              <w:rPr>
                <w:rFonts w:ascii="Verdana" w:hAnsi="Verdana" w:cstheme="majorHAnsi"/>
                <w:b/>
                <w:sz w:val="20"/>
                <w:szCs w:val="20"/>
              </w:rPr>
            </w:pPr>
            <w:r w:rsidRPr="00FA4992">
              <w:rPr>
                <w:rFonts w:ascii="Verdana" w:hAnsi="Verdana" w:cstheme="majorHAnsi"/>
                <w:b/>
                <w:sz w:val="20"/>
                <w:szCs w:val="20"/>
              </w:rPr>
              <w:t>100%</w:t>
            </w:r>
          </w:p>
        </w:tc>
      </w:tr>
    </w:tbl>
    <w:p w14:paraId="50517178" w14:textId="77777777" w:rsidR="00E70C91" w:rsidRPr="00C15BBA" w:rsidRDefault="00E70C91" w:rsidP="00FA4992">
      <w:pPr>
        <w:spacing w:after="0" w:line="240" w:lineRule="auto"/>
        <w:ind w:firstLine="720"/>
        <w:jc w:val="center"/>
        <w:rPr>
          <w:rFonts w:ascii="Verdana" w:hAnsi="Verdana" w:cs="Times New Roman"/>
          <w:sz w:val="20"/>
          <w:szCs w:val="20"/>
        </w:rPr>
      </w:pPr>
      <w:proofErr w:type="gramStart"/>
      <w:r w:rsidRPr="00C15BBA">
        <w:rPr>
          <w:rFonts w:ascii="Verdana" w:hAnsi="Verdana" w:cs="Times New Roman"/>
          <w:sz w:val="20"/>
          <w:szCs w:val="20"/>
        </w:rPr>
        <w:t>Sumber :</w:t>
      </w:r>
      <w:proofErr w:type="gramEnd"/>
      <w:r w:rsidRPr="00C15BBA">
        <w:rPr>
          <w:rFonts w:ascii="Verdana" w:hAnsi="Verdana" w:cs="Times New Roman"/>
          <w:sz w:val="20"/>
          <w:szCs w:val="20"/>
        </w:rPr>
        <w:t xml:space="preserve"> Data Sekunder, 2022</w:t>
      </w:r>
    </w:p>
    <w:p w14:paraId="0C5DA8F9" w14:textId="77777777" w:rsidR="00C3492A" w:rsidRDefault="00C3492A" w:rsidP="00784AC2">
      <w:pPr>
        <w:spacing w:after="0" w:line="240" w:lineRule="auto"/>
        <w:ind w:firstLine="720"/>
        <w:jc w:val="both"/>
        <w:rPr>
          <w:rFonts w:ascii="Verdana" w:hAnsi="Verdana" w:cs="Times New Roman"/>
          <w:sz w:val="20"/>
          <w:szCs w:val="20"/>
        </w:rPr>
      </w:pPr>
    </w:p>
    <w:p w14:paraId="151EDA8B" w14:textId="77777777" w:rsidR="00C3492A" w:rsidRDefault="00C3492A" w:rsidP="00784AC2">
      <w:pPr>
        <w:spacing w:after="0" w:line="240" w:lineRule="auto"/>
        <w:ind w:firstLine="720"/>
        <w:jc w:val="both"/>
        <w:rPr>
          <w:rFonts w:ascii="Verdana" w:hAnsi="Verdana" w:cs="Times New Roman"/>
          <w:sz w:val="20"/>
          <w:szCs w:val="20"/>
        </w:rPr>
        <w:sectPr w:rsidR="00C3492A" w:rsidSect="00C3492A">
          <w:type w:val="continuous"/>
          <w:pgSz w:w="11907" w:h="16839" w:code="9"/>
          <w:pgMar w:top="1418" w:right="1418" w:bottom="1418" w:left="1418" w:header="720" w:footer="720" w:gutter="0"/>
          <w:cols w:space="720"/>
          <w:docGrid w:linePitch="360"/>
        </w:sectPr>
      </w:pPr>
    </w:p>
    <w:p w14:paraId="6A0282DD" w14:textId="7C8EC662" w:rsidR="004615B3" w:rsidRDefault="002E1753" w:rsidP="00784AC2">
      <w:pPr>
        <w:spacing w:after="0" w:line="240" w:lineRule="auto"/>
        <w:ind w:firstLine="720"/>
        <w:jc w:val="both"/>
        <w:rPr>
          <w:rFonts w:ascii="Verdana" w:hAnsi="Verdana" w:cs="Times New Roman"/>
          <w:sz w:val="20"/>
          <w:szCs w:val="20"/>
        </w:rPr>
      </w:pPr>
      <w:proofErr w:type="gramStart"/>
      <w:r>
        <w:rPr>
          <w:rFonts w:ascii="Verdana" w:hAnsi="Verdana" w:cs="Times New Roman"/>
          <w:sz w:val="20"/>
          <w:szCs w:val="20"/>
        </w:rPr>
        <w:lastRenderedPageBreak/>
        <w:t>Berdasarkan tabel 3</w:t>
      </w:r>
      <w:r w:rsidR="00E70C91" w:rsidRPr="00C15BBA">
        <w:rPr>
          <w:rFonts w:ascii="Verdana" w:hAnsi="Verdana" w:cs="Times New Roman"/>
          <w:sz w:val="20"/>
          <w:szCs w:val="20"/>
        </w:rPr>
        <w:t xml:space="preserve">, hasil pemeriksaan hitung jumlah leukosit pada pasien demam tifoid paling banyak </w:t>
      </w:r>
      <w:r w:rsidR="00E70C91" w:rsidRPr="00C15BBA">
        <w:rPr>
          <w:rFonts w:ascii="Verdana" w:hAnsi="Verdana" w:cs="Times New Roman"/>
          <w:sz w:val="20"/>
          <w:szCs w:val="20"/>
        </w:rPr>
        <w:lastRenderedPageBreak/>
        <w:t>ditemukan dalam keadaan normal yaitu sebanyak 117 (78%) pasien.</w:t>
      </w:r>
      <w:proofErr w:type="gramEnd"/>
    </w:p>
    <w:p w14:paraId="1A842B54" w14:textId="77777777" w:rsidR="00C3492A" w:rsidRDefault="00C3492A" w:rsidP="00FA4992">
      <w:pPr>
        <w:spacing w:after="0" w:line="240" w:lineRule="auto"/>
        <w:ind w:firstLine="720"/>
        <w:jc w:val="both"/>
        <w:rPr>
          <w:rFonts w:ascii="Verdana" w:hAnsi="Verdana" w:cs="Times New Roman"/>
          <w:b/>
          <w:sz w:val="20"/>
          <w:szCs w:val="20"/>
        </w:rPr>
        <w:sectPr w:rsidR="00C3492A" w:rsidSect="00C3492A">
          <w:type w:val="continuous"/>
          <w:pgSz w:w="11907" w:h="16839" w:code="9"/>
          <w:pgMar w:top="1418" w:right="1418" w:bottom="1418" w:left="1418" w:header="720" w:footer="720" w:gutter="0"/>
          <w:cols w:num="2" w:space="720"/>
          <w:docGrid w:linePitch="360"/>
        </w:sectPr>
      </w:pPr>
    </w:p>
    <w:p w14:paraId="7D5BC843" w14:textId="0028063E" w:rsidR="00E70C91" w:rsidRPr="00C15BBA" w:rsidRDefault="00E70C91" w:rsidP="00FA4992">
      <w:pPr>
        <w:spacing w:after="0" w:line="240" w:lineRule="auto"/>
        <w:ind w:firstLine="720"/>
        <w:jc w:val="both"/>
        <w:rPr>
          <w:rFonts w:ascii="Verdana" w:hAnsi="Verdana" w:cs="Times New Roman"/>
          <w:b/>
          <w:sz w:val="20"/>
          <w:szCs w:val="20"/>
        </w:rPr>
      </w:pPr>
      <w:proofErr w:type="gramStart"/>
      <w:r w:rsidRPr="00C15BBA">
        <w:rPr>
          <w:rFonts w:ascii="Verdana" w:hAnsi="Verdana" w:cs="Times New Roman"/>
          <w:b/>
          <w:sz w:val="20"/>
          <w:szCs w:val="20"/>
        </w:rPr>
        <w:lastRenderedPageBreak/>
        <w:t xml:space="preserve">Tabel </w:t>
      </w:r>
      <w:r w:rsidR="0039200B">
        <w:rPr>
          <w:rFonts w:ascii="Verdana" w:hAnsi="Verdana" w:cs="Times New Roman"/>
          <w:b/>
          <w:sz w:val="20"/>
          <w:szCs w:val="20"/>
        </w:rPr>
        <w:t>4</w:t>
      </w:r>
      <w:r w:rsidR="008F6BFC" w:rsidRPr="00C15BBA">
        <w:rPr>
          <w:rFonts w:ascii="Verdana" w:hAnsi="Verdana" w:cs="Times New Roman"/>
          <w:b/>
          <w:sz w:val="20"/>
          <w:szCs w:val="20"/>
        </w:rPr>
        <w:t>.</w:t>
      </w:r>
      <w:proofErr w:type="gramEnd"/>
      <w:r w:rsidR="008F6BFC" w:rsidRPr="00C15BBA">
        <w:rPr>
          <w:rFonts w:ascii="Verdana" w:hAnsi="Verdana" w:cs="Times New Roman"/>
          <w:b/>
          <w:sz w:val="20"/>
          <w:szCs w:val="20"/>
        </w:rPr>
        <w:t xml:space="preserve"> </w:t>
      </w:r>
      <w:r w:rsidRPr="00C15BBA">
        <w:rPr>
          <w:rFonts w:ascii="Verdana" w:hAnsi="Verdana" w:cs="Times New Roman"/>
          <w:b/>
          <w:sz w:val="20"/>
          <w:szCs w:val="20"/>
        </w:rPr>
        <w:t xml:space="preserve">Uji Korelasi </w:t>
      </w:r>
      <w:r w:rsidRPr="00C15BBA">
        <w:rPr>
          <w:rFonts w:ascii="Verdana" w:hAnsi="Verdana" w:cs="Times New Roman"/>
          <w:b/>
          <w:i/>
          <w:sz w:val="20"/>
          <w:szCs w:val="20"/>
        </w:rPr>
        <w:t xml:space="preserve">Spearman </w:t>
      </w:r>
    </w:p>
    <w:tbl>
      <w:tblPr>
        <w:tblStyle w:val="TableGrid"/>
        <w:tblW w:w="8154" w:type="dxa"/>
        <w:jc w:val="center"/>
        <w:tblLook w:val="04A0" w:firstRow="1" w:lastRow="0" w:firstColumn="1" w:lastColumn="0" w:noHBand="0" w:noVBand="1"/>
      </w:tblPr>
      <w:tblGrid>
        <w:gridCol w:w="4945"/>
        <w:gridCol w:w="1080"/>
        <w:gridCol w:w="1080"/>
        <w:gridCol w:w="1049"/>
      </w:tblGrid>
      <w:tr w:rsidR="00E70C91" w:rsidRPr="00C15BBA" w14:paraId="307E43FB" w14:textId="77777777" w:rsidTr="008F6BFC">
        <w:trPr>
          <w:trHeight w:val="390"/>
          <w:jc w:val="center"/>
        </w:trPr>
        <w:tc>
          <w:tcPr>
            <w:tcW w:w="4945" w:type="dxa"/>
            <w:tcBorders>
              <w:top w:val="single" w:sz="4" w:space="0" w:color="auto"/>
              <w:left w:val="single" w:sz="4" w:space="0" w:color="auto"/>
              <w:bottom w:val="single" w:sz="4" w:space="0" w:color="auto"/>
              <w:right w:val="single" w:sz="4" w:space="0" w:color="auto"/>
            </w:tcBorders>
            <w:hideMark/>
          </w:tcPr>
          <w:p w14:paraId="451EAD39" w14:textId="77777777" w:rsidR="00E70C91" w:rsidRPr="00C15BBA" w:rsidRDefault="00E70C91" w:rsidP="00C3492A">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Variabel</w:t>
            </w:r>
          </w:p>
        </w:tc>
        <w:tc>
          <w:tcPr>
            <w:tcW w:w="1080" w:type="dxa"/>
            <w:tcBorders>
              <w:top w:val="single" w:sz="4" w:space="0" w:color="auto"/>
              <w:left w:val="single" w:sz="4" w:space="0" w:color="auto"/>
              <w:bottom w:val="single" w:sz="4" w:space="0" w:color="auto"/>
              <w:right w:val="single" w:sz="4" w:space="0" w:color="auto"/>
            </w:tcBorders>
            <w:hideMark/>
          </w:tcPr>
          <w:p w14:paraId="44E8395A" w14:textId="6EB69EEF" w:rsidR="00E70C91" w:rsidRPr="00C15BBA" w:rsidRDefault="00310782" w:rsidP="00C3492A">
            <w:pPr>
              <w:spacing w:after="0" w:line="240" w:lineRule="auto"/>
              <w:jc w:val="both"/>
              <w:rPr>
                <w:rFonts w:ascii="Verdana" w:hAnsi="Verdana" w:cs="Times New Roman"/>
                <w:b/>
                <w:sz w:val="20"/>
                <w:szCs w:val="20"/>
              </w:rPr>
            </w:pPr>
            <w:r w:rsidRPr="00C15BBA">
              <w:rPr>
                <w:rFonts w:ascii="Verdana" w:hAnsi="Verdana" w:cs="Times New Roman"/>
                <w:b/>
                <w:sz w:val="20"/>
                <w:szCs w:val="20"/>
              </w:rPr>
              <w:t>N</w:t>
            </w:r>
          </w:p>
        </w:tc>
        <w:tc>
          <w:tcPr>
            <w:tcW w:w="1080" w:type="dxa"/>
            <w:tcBorders>
              <w:top w:val="single" w:sz="4" w:space="0" w:color="auto"/>
              <w:left w:val="single" w:sz="4" w:space="0" w:color="auto"/>
              <w:bottom w:val="single" w:sz="4" w:space="0" w:color="auto"/>
              <w:right w:val="single" w:sz="4" w:space="0" w:color="auto"/>
            </w:tcBorders>
            <w:hideMark/>
          </w:tcPr>
          <w:p w14:paraId="1BECFCC7" w14:textId="77777777" w:rsidR="00E70C91" w:rsidRPr="00C15BBA" w:rsidRDefault="00E70C91" w:rsidP="00C3492A">
            <w:pPr>
              <w:spacing w:after="0" w:line="240" w:lineRule="auto"/>
              <w:jc w:val="both"/>
              <w:rPr>
                <w:rFonts w:ascii="Verdana" w:hAnsi="Verdana" w:cs="Times New Roman"/>
                <w:b/>
                <w:i/>
                <w:sz w:val="20"/>
                <w:szCs w:val="20"/>
              </w:rPr>
            </w:pPr>
            <w:r w:rsidRPr="00C15BBA">
              <w:rPr>
                <w:rFonts w:ascii="Verdana" w:hAnsi="Verdana" w:cs="Times New Roman"/>
                <w:b/>
                <w:i/>
                <w:sz w:val="20"/>
                <w:szCs w:val="20"/>
              </w:rPr>
              <w:t>P value</w:t>
            </w:r>
          </w:p>
        </w:tc>
        <w:tc>
          <w:tcPr>
            <w:tcW w:w="1049" w:type="dxa"/>
            <w:tcBorders>
              <w:top w:val="single" w:sz="4" w:space="0" w:color="auto"/>
              <w:left w:val="single" w:sz="4" w:space="0" w:color="auto"/>
              <w:bottom w:val="single" w:sz="4" w:space="0" w:color="auto"/>
              <w:right w:val="single" w:sz="4" w:space="0" w:color="auto"/>
            </w:tcBorders>
            <w:hideMark/>
          </w:tcPr>
          <w:p w14:paraId="6DAA11EB" w14:textId="77777777" w:rsidR="00E70C91" w:rsidRPr="00C15BBA" w:rsidRDefault="00E70C91" w:rsidP="00C3492A">
            <w:pPr>
              <w:spacing w:after="0" w:line="240" w:lineRule="auto"/>
              <w:jc w:val="both"/>
              <w:rPr>
                <w:rFonts w:ascii="Verdana" w:hAnsi="Verdana" w:cs="Times New Roman"/>
                <w:b/>
                <w:sz w:val="20"/>
                <w:szCs w:val="20"/>
              </w:rPr>
            </w:pPr>
            <w:r w:rsidRPr="00C15BBA">
              <w:rPr>
                <w:rFonts w:ascii="Verdana" w:hAnsi="Verdana" w:cs="Times New Roman"/>
                <w:b/>
                <w:sz w:val="20"/>
                <w:szCs w:val="20"/>
              </w:rPr>
              <w:t>R</w:t>
            </w:r>
          </w:p>
        </w:tc>
      </w:tr>
      <w:tr w:rsidR="00E70C91" w:rsidRPr="00C15BBA" w14:paraId="19EE2894" w14:textId="77777777" w:rsidTr="008F6BFC">
        <w:trPr>
          <w:trHeight w:val="432"/>
          <w:jc w:val="center"/>
        </w:trPr>
        <w:tc>
          <w:tcPr>
            <w:tcW w:w="4945" w:type="dxa"/>
            <w:tcBorders>
              <w:top w:val="single" w:sz="4" w:space="0" w:color="auto"/>
              <w:left w:val="single" w:sz="4" w:space="0" w:color="auto"/>
              <w:bottom w:val="single" w:sz="4" w:space="0" w:color="auto"/>
              <w:right w:val="single" w:sz="4" w:space="0" w:color="auto"/>
            </w:tcBorders>
            <w:hideMark/>
          </w:tcPr>
          <w:p w14:paraId="7702C554" w14:textId="77777777" w:rsidR="00E70C91" w:rsidRPr="00C15BBA" w:rsidRDefault="00E70C91" w:rsidP="00C3492A">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Derajat Kepositifan Tubex TF</w:t>
            </w:r>
          </w:p>
        </w:tc>
        <w:tc>
          <w:tcPr>
            <w:tcW w:w="1080" w:type="dxa"/>
            <w:tcBorders>
              <w:top w:val="single" w:sz="4" w:space="0" w:color="auto"/>
              <w:left w:val="single" w:sz="4" w:space="0" w:color="auto"/>
              <w:bottom w:val="single" w:sz="4" w:space="0" w:color="auto"/>
              <w:right w:val="single" w:sz="4" w:space="0" w:color="auto"/>
            </w:tcBorders>
            <w:hideMark/>
          </w:tcPr>
          <w:p w14:paraId="40591CDB" w14:textId="77777777" w:rsidR="00E70C91" w:rsidRPr="00C15BBA" w:rsidRDefault="00E70C91" w:rsidP="00C3492A">
            <w:pPr>
              <w:spacing w:after="0" w:line="240" w:lineRule="auto"/>
              <w:jc w:val="both"/>
              <w:rPr>
                <w:rFonts w:ascii="Verdana" w:hAnsi="Verdana" w:cs="Times New Roman"/>
                <w:sz w:val="20"/>
                <w:szCs w:val="20"/>
              </w:rPr>
            </w:pPr>
            <w:r w:rsidRPr="00C15BBA">
              <w:rPr>
                <w:rFonts w:ascii="Verdana" w:hAnsi="Verdana" w:cs="Times New Roman"/>
                <w:sz w:val="20"/>
                <w:szCs w:val="20"/>
              </w:rPr>
              <w:t>150</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5B4C26B" w14:textId="77777777" w:rsidR="00E70C91" w:rsidRPr="00C15BBA" w:rsidRDefault="00E70C91" w:rsidP="00C3492A">
            <w:pPr>
              <w:spacing w:after="0" w:line="240" w:lineRule="auto"/>
              <w:jc w:val="both"/>
              <w:rPr>
                <w:rFonts w:ascii="Verdana" w:hAnsi="Verdana" w:cs="Times New Roman"/>
                <w:sz w:val="20"/>
                <w:szCs w:val="20"/>
              </w:rPr>
            </w:pPr>
            <w:r w:rsidRPr="00C15BBA">
              <w:rPr>
                <w:rFonts w:ascii="Verdana" w:hAnsi="Verdana" w:cs="Times New Roman"/>
                <w:sz w:val="20"/>
                <w:szCs w:val="20"/>
              </w:rPr>
              <w:t>&lt;0.01</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9359EF" w14:textId="77777777" w:rsidR="00E70C91" w:rsidRPr="00C15BBA" w:rsidRDefault="00E70C91" w:rsidP="00C3492A">
            <w:pPr>
              <w:spacing w:after="0" w:line="240" w:lineRule="auto"/>
              <w:jc w:val="both"/>
              <w:rPr>
                <w:rFonts w:ascii="Verdana" w:hAnsi="Verdana" w:cs="Times New Roman"/>
                <w:sz w:val="20"/>
                <w:szCs w:val="20"/>
              </w:rPr>
            </w:pPr>
            <w:r w:rsidRPr="00C15BBA">
              <w:rPr>
                <w:rFonts w:ascii="Verdana" w:hAnsi="Verdana" w:cs="Times New Roman"/>
                <w:sz w:val="20"/>
                <w:szCs w:val="20"/>
              </w:rPr>
              <w:t>-0.430</w:t>
            </w:r>
          </w:p>
        </w:tc>
      </w:tr>
      <w:tr w:rsidR="00E70C91" w:rsidRPr="00C15BBA" w14:paraId="06BA07D4" w14:textId="77777777" w:rsidTr="008F6BFC">
        <w:trPr>
          <w:trHeight w:val="406"/>
          <w:jc w:val="center"/>
        </w:trPr>
        <w:tc>
          <w:tcPr>
            <w:tcW w:w="4945" w:type="dxa"/>
            <w:tcBorders>
              <w:top w:val="single" w:sz="4" w:space="0" w:color="auto"/>
              <w:left w:val="single" w:sz="4" w:space="0" w:color="auto"/>
              <w:bottom w:val="single" w:sz="4" w:space="0" w:color="auto"/>
              <w:right w:val="single" w:sz="4" w:space="0" w:color="auto"/>
            </w:tcBorders>
            <w:hideMark/>
          </w:tcPr>
          <w:p w14:paraId="609767E4" w14:textId="77777777" w:rsidR="00E70C91" w:rsidRPr="00C15BBA" w:rsidRDefault="00E70C91" w:rsidP="00C3492A">
            <w:pPr>
              <w:spacing w:after="0" w:line="240" w:lineRule="auto"/>
              <w:ind w:firstLine="720"/>
              <w:jc w:val="both"/>
              <w:rPr>
                <w:rFonts w:ascii="Verdana" w:hAnsi="Verdana" w:cs="Times New Roman"/>
                <w:b/>
                <w:sz w:val="20"/>
                <w:szCs w:val="20"/>
              </w:rPr>
            </w:pPr>
            <w:r w:rsidRPr="00C15BBA">
              <w:rPr>
                <w:rFonts w:ascii="Verdana" w:hAnsi="Verdana" w:cs="Times New Roman"/>
                <w:b/>
                <w:sz w:val="20"/>
                <w:szCs w:val="20"/>
              </w:rPr>
              <w:t>Angka Leukosit</w:t>
            </w:r>
          </w:p>
        </w:tc>
        <w:tc>
          <w:tcPr>
            <w:tcW w:w="1080" w:type="dxa"/>
            <w:tcBorders>
              <w:top w:val="single" w:sz="4" w:space="0" w:color="auto"/>
              <w:left w:val="single" w:sz="4" w:space="0" w:color="auto"/>
              <w:bottom w:val="single" w:sz="4" w:space="0" w:color="auto"/>
              <w:right w:val="single" w:sz="4" w:space="0" w:color="auto"/>
            </w:tcBorders>
            <w:hideMark/>
          </w:tcPr>
          <w:p w14:paraId="2B798386" w14:textId="77777777" w:rsidR="00E70C91" w:rsidRPr="00C15BBA" w:rsidRDefault="00E70C91" w:rsidP="00C3492A">
            <w:pPr>
              <w:spacing w:after="0" w:line="240" w:lineRule="auto"/>
              <w:jc w:val="both"/>
              <w:rPr>
                <w:rFonts w:ascii="Verdana" w:hAnsi="Verdana" w:cs="Times New Roman"/>
                <w:sz w:val="20"/>
                <w:szCs w:val="20"/>
              </w:rPr>
            </w:pPr>
            <w:r w:rsidRPr="00C15BBA">
              <w:rPr>
                <w:rFonts w:ascii="Verdana" w:hAnsi="Verdana" w:cs="Times New Roman"/>
                <w:sz w:val="20"/>
                <w:szCs w:val="20"/>
              </w:rPr>
              <w:t>150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B78285" w14:textId="77777777" w:rsidR="00E70C91" w:rsidRPr="00C15BBA" w:rsidRDefault="00E70C91" w:rsidP="00C3492A">
            <w:pPr>
              <w:spacing w:after="0" w:line="240" w:lineRule="auto"/>
              <w:ind w:firstLine="720"/>
              <w:jc w:val="both"/>
              <w:rPr>
                <w:rFonts w:ascii="Verdana" w:hAnsi="Verdana" w:cs="Times New Roman"/>
                <w:sz w:val="20"/>
                <w:szCs w:val="20"/>
                <w:lang w:val="id-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E171629" w14:textId="77777777" w:rsidR="00E70C91" w:rsidRPr="00C15BBA" w:rsidRDefault="00E70C91" w:rsidP="00C3492A">
            <w:pPr>
              <w:spacing w:after="0" w:line="240" w:lineRule="auto"/>
              <w:ind w:firstLine="720"/>
              <w:jc w:val="both"/>
              <w:rPr>
                <w:rFonts w:ascii="Verdana" w:hAnsi="Verdana" w:cs="Times New Roman"/>
                <w:sz w:val="20"/>
                <w:szCs w:val="20"/>
                <w:lang w:val="id-ID"/>
              </w:rPr>
            </w:pPr>
          </w:p>
        </w:tc>
      </w:tr>
    </w:tbl>
    <w:p w14:paraId="6569CE02" w14:textId="77777777" w:rsidR="00C3492A" w:rsidRDefault="00E70C91" w:rsidP="00FA4992">
      <w:pPr>
        <w:spacing w:after="0" w:line="240" w:lineRule="auto"/>
        <w:ind w:firstLine="720"/>
        <w:jc w:val="center"/>
        <w:rPr>
          <w:rFonts w:ascii="Verdana" w:hAnsi="Verdana" w:cs="Times New Roman"/>
          <w:sz w:val="20"/>
          <w:szCs w:val="20"/>
        </w:rPr>
        <w:sectPr w:rsidR="00C3492A" w:rsidSect="00C3492A">
          <w:type w:val="continuous"/>
          <w:pgSz w:w="11907" w:h="16839" w:code="9"/>
          <w:pgMar w:top="1418" w:right="1418" w:bottom="1418" w:left="1418" w:header="720" w:footer="720" w:gutter="0"/>
          <w:cols w:space="720"/>
          <w:docGrid w:linePitch="360"/>
        </w:sectPr>
      </w:pPr>
      <w:proofErr w:type="gramStart"/>
      <w:r w:rsidRPr="00C15BBA">
        <w:rPr>
          <w:rFonts w:ascii="Verdana" w:hAnsi="Verdana" w:cs="Times New Roman"/>
          <w:sz w:val="20"/>
          <w:szCs w:val="20"/>
        </w:rPr>
        <w:t>Sumber :</w:t>
      </w:r>
      <w:proofErr w:type="gramEnd"/>
      <w:r w:rsidRPr="00C15BBA">
        <w:rPr>
          <w:rFonts w:ascii="Verdana" w:hAnsi="Verdana" w:cs="Times New Roman"/>
          <w:sz w:val="20"/>
          <w:szCs w:val="20"/>
        </w:rPr>
        <w:t xml:space="preserve"> Data Sekunder, 2022</w:t>
      </w:r>
    </w:p>
    <w:p w14:paraId="29CAF6E8" w14:textId="48B1BB43" w:rsidR="00E70C91" w:rsidRPr="00C15BBA" w:rsidRDefault="00E70C91" w:rsidP="00FA4992">
      <w:pPr>
        <w:spacing w:after="0" w:line="240" w:lineRule="auto"/>
        <w:ind w:firstLine="720"/>
        <w:jc w:val="center"/>
        <w:rPr>
          <w:rFonts w:ascii="Verdana" w:hAnsi="Verdana" w:cs="Times New Roman"/>
          <w:sz w:val="20"/>
          <w:szCs w:val="20"/>
        </w:rPr>
      </w:pPr>
    </w:p>
    <w:p w14:paraId="2812DF82" w14:textId="77777777" w:rsidR="00642FF0"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Data skunder yang telah didapatkan dilakukan pengujian Korelasi </w:t>
      </w:r>
      <w:r w:rsidRPr="00C15BBA">
        <w:rPr>
          <w:rFonts w:ascii="Verdana" w:hAnsi="Verdana" w:cs="Times New Roman"/>
          <w:i/>
          <w:sz w:val="20"/>
          <w:szCs w:val="20"/>
        </w:rPr>
        <w:t xml:space="preserve">Spearmen </w:t>
      </w:r>
      <w:r w:rsidRPr="00C15BBA">
        <w:rPr>
          <w:rFonts w:ascii="Verdana" w:hAnsi="Verdana" w:cs="Times New Roman"/>
          <w:sz w:val="20"/>
          <w:szCs w:val="20"/>
        </w:rPr>
        <w:t xml:space="preserve">didapatkan nilai </w:t>
      </w:r>
      <w:r w:rsidRPr="00C15BBA">
        <w:rPr>
          <w:rFonts w:ascii="Verdana" w:hAnsi="Verdana" w:cs="Times New Roman"/>
          <w:i/>
          <w:sz w:val="20"/>
          <w:szCs w:val="20"/>
        </w:rPr>
        <w:t>P value</w:t>
      </w:r>
      <w:r w:rsidRPr="00C15BBA">
        <w:rPr>
          <w:rFonts w:ascii="Verdana" w:hAnsi="Verdana" w:cs="Times New Roman"/>
          <w:sz w:val="20"/>
          <w:szCs w:val="20"/>
        </w:rPr>
        <w:t xml:space="preserve"> &lt;0,01. Hal ini menunjukkan bahwa </w:t>
      </w:r>
      <w:r w:rsidRPr="00C15BBA">
        <w:rPr>
          <w:rFonts w:ascii="Verdana" w:hAnsi="Verdana" w:cs="Times New Roman"/>
          <w:i/>
          <w:sz w:val="20"/>
          <w:szCs w:val="20"/>
        </w:rPr>
        <w:t>P value</w:t>
      </w:r>
      <w:r w:rsidRPr="00C15BBA">
        <w:rPr>
          <w:rFonts w:ascii="Verdana" w:hAnsi="Verdana" w:cs="Times New Roman"/>
          <w:sz w:val="20"/>
          <w:szCs w:val="20"/>
        </w:rPr>
        <w:t xml:space="preserve"> &lt;0,05. Maka H0 ditolak dan Ha diterima. Dimana hal ini dapat diketahui bahwa terdapat hubungan antara derajat kepositifan Tubex TF terhadap angka leukosit pada pasien demam tifoid di RSUD Cut Meutia Aceh Utara.</w:t>
      </w:r>
    </w:p>
    <w:p w14:paraId="3A9AD32C" w14:textId="578C745E" w:rsidR="00E70C91" w:rsidRDefault="00E70C91" w:rsidP="00FA4992">
      <w:pPr>
        <w:spacing w:after="0" w:line="240" w:lineRule="auto"/>
        <w:ind w:firstLine="720"/>
        <w:jc w:val="both"/>
        <w:rPr>
          <w:rFonts w:ascii="Verdana" w:hAnsi="Verdana" w:cs="Times New Roman"/>
          <w:sz w:val="20"/>
          <w:szCs w:val="20"/>
        </w:rPr>
      </w:pPr>
      <w:r w:rsidRPr="00C15BBA">
        <w:rPr>
          <w:rFonts w:ascii="Verdana" w:hAnsi="Verdana" w:cs="Times New Roman"/>
          <w:sz w:val="20"/>
          <w:szCs w:val="20"/>
        </w:rPr>
        <w:t xml:space="preserve"> Data hasil uji korelasi </w:t>
      </w:r>
      <w:r w:rsidRPr="00C15BBA">
        <w:rPr>
          <w:rFonts w:ascii="Verdana" w:hAnsi="Verdana" w:cs="Times New Roman"/>
          <w:i/>
          <w:sz w:val="20"/>
          <w:szCs w:val="20"/>
        </w:rPr>
        <w:t>spearmen</w:t>
      </w:r>
      <w:r w:rsidRPr="00C15BBA">
        <w:rPr>
          <w:rFonts w:ascii="Verdana" w:hAnsi="Verdana" w:cs="Times New Roman"/>
          <w:sz w:val="20"/>
          <w:szCs w:val="20"/>
        </w:rPr>
        <w:t xml:space="preserve"> dapat dilihat pada tabel </w:t>
      </w:r>
      <w:r w:rsidR="0039200B">
        <w:rPr>
          <w:rFonts w:ascii="Verdana" w:hAnsi="Verdana" w:cs="Times New Roman"/>
          <w:sz w:val="20"/>
          <w:szCs w:val="20"/>
        </w:rPr>
        <w:t>4</w:t>
      </w:r>
      <w:r w:rsidRPr="00C15BBA">
        <w:rPr>
          <w:rFonts w:ascii="Verdana" w:hAnsi="Verdana" w:cs="Times New Roman"/>
          <w:sz w:val="20"/>
          <w:szCs w:val="20"/>
        </w:rPr>
        <w:t xml:space="preserve">. Dan dari nilai r yang didapatkan sebesar -0,430 </w:t>
      </w:r>
      <w:r w:rsidRPr="00C15BBA">
        <w:rPr>
          <w:rFonts w:ascii="Verdana" w:hAnsi="Verdana" w:cs="Times New Roman"/>
          <w:bCs/>
          <w:sz w:val="20"/>
          <w:szCs w:val="20"/>
        </w:rPr>
        <w:t xml:space="preserve">yang menunjukkan keeratan hubungannya dalam kategori sedang dengan arah korelasi negatif artinya semakin besar nilai variabel X, maka semakin kecil nilai variabel Y. </w:t>
      </w:r>
      <w:r w:rsidRPr="00C15BBA">
        <w:rPr>
          <w:rFonts w:ascii="Verdana" w:hAnsi="Verdana" w:cs="Times New Roman"/>
          <w:sz w:val="20"/>
          <w:szCs w:val="20"/>
        </w:rPr>
        <w:t>Hasil dari penelitian tersebut dijelaskan bahwasanya semakin tinggi skala kepositifan tubex TF maka akan semakin rendah jumlah leukosit.</w:t>
      </w:r>
    </w:p>
    <w:p w14:paraId="43190304" w14:textId="77777777" w:rsidR="00861A3B" w:rsidRPr="00C15BBA" w:rsidRDefault="00861A3B" w:rsidP="00FA4992">
      <w:pPr>
        <w:spacing w:after="0" w:line="240" w:lineRule="auto"/>
        <w:ind w:firstLine="720"/>
        <w:jc w:val="both"/>
        <w:rPr>
          <w:rFonts w:ascii="Verdana" w:hAnsi="Verdana" w:cs="Times New Roman"/>
          <w:sz w:val="20"/>
          <w:szCs w:val="20"/>
        </w:rPr>
      </w:pPr>
    </w:p>
    <w:p w14:paraId="7899DCA2" w14:textId="77777777" w:rsidR="00113E9D" w:rsidRPr="00C15BBA" w:rsidRDefault="00113E9D" w:rsidP="00FA4992">
      <w:pPr>
        <w:autoSpaceDE w:val="0"/>
        <w:autoSpaceDN w:val="0"/>
        <w:adjustRightInd w:val="0"/>
        <w:spacing w:after="0" w:line="240" w:lineRule="auto"/>
        <w:contextualSpacing/>
        <w:jc w:val="both"/>
        <w:rPr>
          <w:rFonts w:ascii="Verdana" w:hAnsi="Verdana" w:cs="Times New Roman"/>
          <w:b/>
          <w:sz w:val="20"/>
          <w:szCs w:val="20"/>
        </w:rPr>
      </w:pPr>
      <w:r w:rsidRPr="00C15BBA">
        <w:rPr>
          <w:rFonts w:ascii="Verdana" w:hAnsi="Verdana" w:cs="Times New Roman"/>
          <w:b/>
          <w:sz w:val="20"/>
          <w:szCs w:val="20"/>
        </w:rPr>
        <w:t>PEMBAHASAN</w:t>
      </w:r>
    </w:p>
    <w:p w14:paraId="41B22664" w14:textId="47D47249" w:rsidR="00113E9D" w:rsidRPr="00C15BBA" w:rsidRDefault="00113E9D" w:rsidP="00FA4992">
      <w:pPr>
        <w:autoSpaceDE w:val="0"/>
        <w:autoSpaceDN w:val="0"/>
        <w:adjustRightInd w:val="0"/>
        <w:spacing w:after="0" w:line="240" w:lineRule="auto"/>
        <w:contextualSpacing/>
        <w:jc w:val="both"/>
        <w:rPr>
          <w:rFonts w:ascii="Verdana" w:hAnsi="Verdana" w:cs="Times New Roman"/>
          <w:b/>
          <w:sz w:val="20"/>
          <w:szCs w:val="20"/>
        </w:rPr>
      </w:pPr>
      <w:r w:rsidRPr="00C15BBA">
        <w:rPr>
          <w:rFonts w:ascii="Verdana" w:eastAsia="Times New Roman" w:hAnsi="Verdana" w:cs="Times New Roman"/>
          <w:b/>
          <w:sz w:val="20"/>
          <w:szCs w:val="20"/>
        </w:rPr>
        <w:t xml:space="preserve">Gambaran </w:t>
      </w:r>
      <w:r w:rsidRPr="00C15BBA">
        <w:rPr>
          <w:rFonts w:ascii="Verdana" w:hAnsi="Verdana" w:cs="Times New Roman"/>
          <w:b/>
          <w:sz w:val="20"/>
          <w:szCs w:val="20"/>
        </w:rPr>
        <w:t xml:space="preserve">Karakteristik </w:t>
      </w:r>
      <w:r w:rsidR="00EE60DB" w:rsidRPr="00C15BBA">
        <w:rPr>
          <w:rFonts w:ascii="Verdana" w:hAnsi="Verdana" w:cs="Times New Roman"/>
          <w:b/>
          <w:sz w:val="20"/>
          <w:szCs w:val="20"/>
        </w:rPr>
        <w:t>Sampel</w:t>
      </w:r>
    </w:p>
    <w:p w14:paraId="6C54DE6E" w14:textId="0DFAFAFF" w:rsidR="00EE60DB" w:rsidRPr="00C15BBA" w:rsidRDefault="00EE60DB" w:rsidP="00FA4992">
      <w:pPr>
        <w:spacing w:after="0" w:line="240" w:lineRule="auto"/>
        <w:ind w:firstLine="720"/>
        <w:contextualSpacing/>
        <w:jc w:val="both"/>
        <w:rPr>
          <w:rFonts w:ascii="Verdana" w:hAnsi="Verdana" w:cs="Times New Roman"/>
          <w:sz w:val="20"/>
          <w:szCs w:val="20"/>
        </w:rPr>
      </w:pPr>
      <w:r w:rsidRPr="00C15BBA">
        <w:rPr>
          <w:rFonts w:ascii="Verdana" w:hAnsi="Verdana" w:cs="Times New Roman"/>
          <w:sz w:val="20"/>
          <w:szCs w:val="20"/>
        </w:rPr>
        <w:t>Pada penelitian yang dilakukan di RSUD Cut Meutia terhadap 150 pasien demam tifoid berdasarkan dari data rekam medik ditemukan bahwa pasien demam tifoid banyak terdapat pada perempuan.</w:t>
      </w:r>
    </w:p>
    <w:p w14:paraId="707BC840" w14:textId="667C5700" w:rsidR="00EE60DB" w:rsidRPr="00C15BBA" w:rsidRDefault="00EE60DB" w:rsidP="00FA4992">
      <w:pPr>
        <w:spacing w:after="0" w:line="240" w:lineRule="auto"/>
        <w:ind w:firstLine="720"/>
        <w:contextualSpacing/>
        <w:jc w:val="both"/>
        <w:rPr>
          <w:rFonts w:ascii="Verdana" w:hAnsi="Verdana" w:cs="Times New Roman"/>
          <w:sz w:val="20"/>
          <w:szCs w:val="20"/>
        </w:rPr>
      </w:pPr>
      <w:r w:rsidRPr="00C15BBA">
        <w:rPr>
          <w:rFonts w:ascii="Verdana" w:hAnsi="Verdana" w:cs="Times New Roman"/>
          <w:sz w:val="20"/>
          <w:szCs w:val="20"/>
        </w:rPr>
        <w:t xml:space="preserve">Hasil penelitian sesuai dengan laporan Kementrian Republik Indonesia (Kemenkes, 2011) menjelaskan bahwa penyakit demam tifoid ditemukan lebih banyak pada perempuan dari pada pada laki-laki. Hasil penelitian ini sejalan dengan penelitian yang dilakukan oleh Gultom, Mai Debora, di Rumah Sakit Santa Elisabeth Medan  berdasarkan jenis kelamin, pasien demam tifoid lebih banyak pada perempuan sebanyak 149 orang (57.5%) dan laki-laki sebanyak 110 orang (42.5%) </w:t>
      </w:r>
      <w:proofErr w:type="gramStart"/>
      <w:r w:rsidR="007A2FBD" w:rsidRPr="00C15BBA">
        <w:rPr>
          <w:rFonts w:ascii="Verdana" w:hAnsi="Verdana" w:cs="Times New Roman"/>
          <w:sz w:val="20"/>
          <w:szCs w:val="20"/>
        </w:rPr>
        <w:t>(Gultom, 2016)</w:t>
      </w:r>
      <w:r w:rsidRPr="00C15BBA">
        <w:rPr>
          <w:rFonts w:ascii="Verdana" w:hAnsi="Verdana" w:cs="Times New Roman"/>
          <w:sz w:val="20"/>
          <w:szCs w:val="20"/>
        </w:rPr>
        <w:t>.</w:t>
      </w:r>
      <w:proofErr w:type="gramEnd"/>
      <w:r w:rsidRPr="00C15BBA">
        <w:rPr>
          <w:rFonts w:ascii="Verdana" w:hAnsi="Verdana" w:cs="Times New Roman"/>
          <w:sz w:val="20"/>
          <w:szCs w:val="20"/>
        </w:rPr>
        <w:t xml:space="preserve"> Adanya perbedaan prevalensi jenis kelamin perempuan dan laki-laki pada beberapa penelitian di berbagai rumah sakit mungkin disebabkan karena mayoritas perempuan atau sebaliknya yang memeriksakan diri di rumah sakit, </w:t>
      </w:r>
      <w:r w:rsidRPr="00C15BBA">
        <w:rPr>
          <w:rFonts w:ascii="Verdana" w:hAnsi="Verdana" w:cs="Times New Roman"/>
          <w:sz w:val="20"/>
          <w:szCs w:val="20"/>
        </w:rPr>
        <w:lastRenderedPageBreak/>
        <w:t xml:space="preserve">namun tidak menutup kemungkinan juga laki-laki atau sebaliknya. memiliki prevalensi tinggi demam tifoid tetapi tidak memeriksakan diri ke rumah sakit </w:t>
      </w:r>
      <w:r w:rsidR="007A2FBD" w:rsidRPr="00C15BBA">
        <w:rPr>
          <w:rFonts w:ascii="Verdana" w:hAnsi="Verdana" w:cs="Times New Roman"/>
          <w:sz w:val="20"/>
          <w:szCs w:val="20"/>
        </w:rPr>
        <w:t>(Khairunnisa et al., 2020)</w:t>
      </w:r>
      <w:r w:rsidRPr="00C15BBA">
        <w:rPr>
          <w:rFonts w:ascii="Verdana" w:hAnsi="Verdana" w:cs="Times New Roman"/>
          <w:sz w:val="20"/>
          <w:szCs w:val="20"/>
        </w:rPr>
        <w:t>.</w:t>
      </w:r>
    </w:p>
    <w:p w14:paraId="0D0F4C7B" w14:textId="35EE94C4" w:rsidR="00EE60DB" w:rsidRPr="00C15BBA" w:rsidRDefault="00AF506E" w:rsidP="00FA4992">
      <w:pPr>
        <w:tabs>
          <w:tab w:val="left" w:pos="630"/>
        </w:tabs>
        <w:spacing w:after="0" w:line="240" w:lineRule="auto"/>
        <w:jc w:val="both"/>
        <w:rPr>
          <w:rFonts w:ascii="Verdana" w:hAnsi="Verdana" w:cs="Times New Roman"/>
          <w:sz w:val="20"/>
          <w:szCs w:val="20"/>
        </w:rPr>
      </w:pPr>
      <w:r w:rsidRPr="00C15BBA">
        <w:rPr>
          <w:rFonts w:ascii="Verdana" w:hAnsi="Verdana" w:cs="Times New Roman"/>
          <w:sz w:val="20"/>
          <w:szCs w:val="20"/>
        </w:rPr>
        <w:tab/>
      </w:r>
      <w:r w:rsidR="00EE60DB" w:rsidRPr="00C15BBA">
        <w:rPr>
          <w:rFonts w:ascii="Verdana" w:hAnsi="Verdana" w:cs="Times New Roman"/>
          <w:sz w:val="20"/>
          <w:szCs w:val="20"/>
        </w:rPr>
        <w:t>Penelitian ini menunjukkan dimana mayoritas pasien demam tifoid kebanyakan dengan umur 17-25 tahun, hal ini disebabkan karena di usia tersebut mempunyai aktivitas yang lebih tinggi sehingga memungkinkan kelompok umur tersebut lebih banyak mengenal jajanan diluar rumah sehingga kurang memperhatikan pola makannya.</w:t>
      </w:r>
    </w:p>
    <w:p w14:paraId="1EF5D311" w14:textId="53ADB9D4" w:rsidR="00EE60DB" w:rsidRDefault="00AF506E" w:rsidP="00FA4992">
      <w:pPr>
        <w:tabs>
          <w:tab w:val="left" w:pos="630"/>
        </w:tabs>
        <w:spacing w:after="0" w:line="240" w:lineRule="auto"/>
        <w:jc w:val="both"/>
        <w:rPr>
          <w:rFonts w:ascii="Verdana" w:hAnsi="Verdana" w:cs="Times New Roman"/>
          <w:sz w:val="20"/>
          <w:szCs w:val="20"/>
        </w:rPr>
      </w:pPr>
      <w:r w:rsidRPr="00C15BBA">
        <w:rPr>
          <w:rFonts w:ascii="Verdana" w:hAnsi="Verdana" w:cs="Times New Roman"/>
          <w:sz w:val="20"/>
          <w:szCs w:val="20"/>
        </w:rPr>
        <w:tab/>
      </w:r>
      <w:r w:rsidR="00EE60DB" w:rsidRPr="00C15BBA">
        <w:rPr>
          <w:rFonts w:ascii="Verdana" w:hAnsi="Verdana" w:cs="Times New Roman"/>
          <w:sz w:val="20"/>
          <w:szCs w:val="20"/>
        </w:rPr>
        <w:t xml:space="preserve">Hasil penelitian ini sejalan dengan (Pratiwi, 2022) menunjukkan yang paling banyak terkena demam tifoid yaitu usia 17-25 tahun sebesar 56,98%, karena kebanyakan dari mereka sering melakukan aktifitas di luar rumah dan jajan sembarangan. </w:t>
      </w:r>
      <w:proofErr w:type="gramStart"/>
      <w:r w:rsidR="00EE60DB" w:rsidRPr="00C15BBA">
        <w:rPr>
          <w:rFonts w:ascii="Verdana" w:hAnsi="Verdana" w:cs="Times New Roman"/>
          <w:sz w:val="20"/>
          <w:szCs w:val="20"/>
        </w:rPr>
        <w:t xml:space="preserve">Hubungan kejadian demam tifoid pada orang dewasa karena kebiasaan jajan makanan di luar rumah, tidak mencuci tangan sebelum makan menggunakan sabun, riwayat demam tifoid dan penggunaan air bersih dalam kehidupan sehari-hari </w:t>
      </w:r>
      <w:r w:rsidR="007A2FBD" w:rsidRPr="00C15BBA">
        <w:rPr>
          <w:rFonts w:ascii="Verdana" w:hAnsi="Verdana" w:cs="Times New Roman"/>
          <w:sz w:val="20"/>
          <w:szCs w:val="20"/>
        </w:rPr>
        <w:t>(Pratiwi. et. al., 2022)</w:t>
      </w:r>
      <w:r w:rsidR="00EE60DB" w:rsidRPr="00C15BBA">
        <w:rPr>
          <w:rFonts w:ascii="Verdana" w:hAnsi="Verdana" w:cs="Times New Roman"/>
          <w:sz w:val="20"/>
          <w:szCs w:val="20"/>
        </w:rPr>
        <w:t>.</w:t>
      </w:r>
      <w:proofErr w:type="gramEnd"/>
    </w:p>
    <w:p w14:paraId="0759577A" w14:textId="77777777" w:rsidR="00C3492A" w:rsidRPr="00C15BBA" w:rsidRDefault="00C3492A" w:rsidP="00FA4992">
      <w:pPr>
        <w:tabs>
          <w:tab w:val="left" w:pos="630"/>
        </w:tabs>
        <w:spacing w:after="0" w:line="240" w:lineRule="auto"/>
        <w:jc w:val="both"/>
        <w:rPr>
          <w:rFonts w:ascii="Verdana" w:hAnsi="Verdana" w:cs="Times New Roman"/>
          <w:sz w:val="20"/>
          <w:szCs w:val="20"/>
        </w:rPr>
      </w:pPr>
    </w:p>
    <w:p w14:paraId="5485122C" w14:textId="0694FF6C" w:rsidR="00113E9D" w:rsidRPr="00C15BBA" w:rsidRDefault="00113E9D" w:rsidP="00FA4992">
      <w:pPr>
        <w:spacing w:after="0" w:line="240" w:lineRule="auto"/>
        <w:contextualSpacing/>
        <w:jc w:val="both"/>
        <w:rPr>
          <w:rFonts w:ascii="Verdana" w:eastAsia="Times New Roman" w:hAnsi="Verdana" w:cs="Times New Roman"/>
          <w:b/>
          <w:sz w:val="20"/>
          <w:szCs w:val="20"/>
        </w:rPr>
      </w:pPr>
      <w:r w:rsidRPr="00C15BBA">
        <w:rPr>
          <w:rFonts w:ascii="Verdana" w:eastAsia="Times New Roman" w:hAnsi="Verdana" w:cs="Times New Roman"/>
          <w:b/>
          <w:sz w:val="20"/>
          <w:szCs w:val="20"/>
        </w:rPr>
        <w:t xml:space="preserve">Gambaran </w:t>
      </w:r>
      <w:r w:rsidR="00EE60DB" w:rsidRPr="00C15BBA">
        <w:rPr>
          <w:rFonts w:ascii="Verdana" w:eastAsia="Times New Roman" w:hAnsi="Verdana" w:cs="Times New Roman"/>
          <w:b/>
          <w:sz w:val="20"/>
          <w:szCs w:val="20"/>
        </w:rPr>
        <w:t>Kepositifan Tubex TF Pada Pasien Demam Tifoid</w:t>
      </w:r>
    </w:p>
    <w:p w14:paraId="7A3D1009" w14:textId="3B7CB26D" w:rsidR="00EE60DB" w:rsidRPr="00C15BBA" w:rsidRDefault="00EE60DB" w:rsidP="00FA4992">
      <w:pPr>
        <w:spacing w:after="0" w:line="240" w:lineRule="auto"/>
        <w:ind w:firstLine="720"/>
        <w:contextualSpacing/>
        <w:jc w:val="both"/>
        <w:rPr>
          <w:rFonts w:ascii="Verdana" w:hAnsi="Verdana" w:cs="Times New Roman"/>
          <w:sz w:val="20"/>
          <w:szCs w:val="20"/>
        </w:rPr>
      </w:pPr>
      <w:r w:rsidRPr="00C15BBA">
        <w:rPr>
          <w:rFonts w:ascii="Verdana" w:hAnsi="Verdana" w:cs="Times New Roman"/>
          <w:sz w:val="20"/>
          <w:szCs w:val="20"/>
        </w:rPr>
        <w:t xml:space="preserve">Penelitian ini menunjukkan sebagian besar persentase tertinggi dari hasil data rekam medik di RSUD Cut Meutia adalah </w:t>
      </w:r>
      <w:proofErr w:type="gramStart"/>
      <w:r w:rsidRPr="00C15BBA">
        <w:rPr>
          <w:rFonts w:ascii="Verdana" w:hAnsi="Verdana" w:cs="Times New Roman"/>
          <w:sz w:val="20"/>
          <w:szCs w:val="20"/>
        </w:rPr>
        <w:t xml:space="preserve">positif </w:t>
      </w:r>
      <w:r w:rsidRPr="00C15BBA">
        <w:rPr>
          <w:rFonts w:ascii="Verdana" w:hAnsi="Verdana" w:cs="Times New Roman"/>
          <w:color w:val="000000" w:themeColor="text1"/>
          <w:sz w:val="20"/>
          <w:szCs w:val="20"/>
        </w:rPr>
        <w:t xml:space="preserve"> </w:t>
      </w:r>
      <w:r w:rsidRPr="00C15BBA">
        <w:rPr>
          <w:rFonts w:ascii="Verdana" w:hAnsi="Verdana" w:cs="Times New Roman"/>
          <w:sz w:val="20"/>
          <w:szCs w:val="20"/>
        </w:rPr>
        <w:t>4</w:t>
      </w:r>
      <w:proofErr w:type="gramEnd"/>
      <w:r w:rsidRPr="00C15BBA">
        <w:rPr>
          <w:rFonts w:ascii="Verdana" w:hAnsi="Verdana" w:cs="Times New Roman"/>
          <w:sz w:val="20"/>
          <w:szCs w:val="20"/>
        </w:rPr>
        <w:t xml:space="preserve">-5 sebanyak 124 orang. Jika hasil Tubex positif maka menunjukkan terdapat infeksi </w:t>
      </w:r>
      <w:r w:rsidRPr="00C15BBA">
        <w:rPr>
          <w:rFonts w:ascii="Verdana" w:hAnsi="Verdana" w:cs="Times New Roman"/>
          <w:i/>
          <w:sz w:val="20"/>
          <w:szCs w:val="20"/>
        </w:rPr>
        <w:t>Salmonella typhi</w:t>
      </w:r>
      <w:r w:rsidRPr="00C15BBA">
        <w:rPr>
          <w:rFonts w:ascii="Verdana" w:hAnsi="Verdana" w:cs="Times New Roman"/>
          <w:sz w:val="20"/>
          <w:szCs w:val="20"/>
        </w:rPr>
        <w:t>. Interpretasi dari skor Tu</w:t>
      </w:r>
      <w:r w:rsidR="00861A3B">
        <w:rPr>
          <w:rFonts w:ascii="Verdana" w:hAnsi="Verdana" w:cs="Times New Roman"/>
          <w:sz w:val="20"/>
          <w:szCs w:val="20"/>
        </w:rPr>
        <w:t xml:space="preserve">bex </w:t>
      </w:r>
      <w:r w:rsidR="00DD3316">
        <w:rPr>
          <w:rFonts w:ascii="Verdana" w:hAnsi="Verdana" w:cs="Times New Roman"/>
          <w:sz w:val="20"/>
          <w:szCs w:val="20"/>
        </w:rPr>
        <w:t xml:space="preserve">dimulai dari 0–10. </w:t>
      </w:r>
      <w:proofErr w:type="gramStart"/>
      <w:r w:rsidR="00DD3316">
        <w:rPr>
          <w:rFonts w:ascii="Verdana" w:hAnsi="Verdana" w:cs="Times New Roman"/>
          <w:sz w:val="20"/>
          <w:szCs w:val="20"/>
        </w:rPr>
        <w:t xml:space="preserve">Skor </w:t>
      </w:r>
      <w:r w:rsidR="00861A3B">
        <w:rPr>
          <w:rFonts w:ascii="Verdana" w:hAnsi="Verdana" w:cs="Times New Roman"/>
          <w:sz w:val="20"/>
          <w:szCs w:val="20"/>
        </w:rPr>
        <w:t>&lt;</w:t>
      </w:r>
      <w:r w:rsidRPr="00C15BBA">
        <w:rPr>
          <w:rFonts w:ascii="Verdana" w:hAnsi="Verdana" w:cs="Times New Roman"/>
          <w:sz w:val="20"/>
          <w:szCs w:val="20"/>
        </w:rPr>
        <w:t>2 menandakan hasil negatif, artinya tidak mengindikasikan adanya infeksi tifoid aktif, seperti pada kontrol negatif.</w:t>
      </w:r>
      <w:proofErr w:type="gramEnd"/>
      <w:r w:rsidRPr="00C15BBA">
        <w:rPr>
          <w:rFonts w:ascii="Verdana" w:hAnsi="Verdana" w:cs="Times New Roman"/>
          <w:sz w:val="20"/>
          <w:szCs w:val="20"/>
        </w:rPr>
        <w:t xml:space="preserve"> Skor</w:t>
      </w:r>
      <w:r w:rsidR="00DD3316">
        <w:rPr>
          <w:rFonts w:ascii="Verdana" w:hAnsi="Verdana" w:cs="Times New Roman"/>
          <w:color w:val="000000" w:themeColor="text1"/>
          <w:sz w:val="20"/>
          <w:szCs w:val="20"/>
        </w:rPr>
        <w:t xml:space="preserve"> </w:t>
      </w:r>
      <w:r w:rsidRPr="00C15BBA">
        <w:rPr>
          <w:rFonts w:ascii="Verdana" w:hAnsi="Verdana" w:cs="Times New Roman"/>
          <w:color w:val="000000" w:themeColor="text1"/>
          <w:sz w:val="20"/>
          <w:szCs w:val="20"/>
        </w:rPr>
        <w:t>+</w:t>
      </w:r>
      <w:r w:rsidRPr="00C15BBA">
        <w:rPr>
          <w:rFonts w:ascii="Verdana" w:hAnsi="Verdana" w:cs="Times New Roman"/>
          <w:sz w:val="20"/>
          <w:szCs w:val="20"/>
        </w:rPr>
        <w:t xml:space="preserve">4 diinterpretasikan sebagai positif lemah, mengindikasikan adanya infeksi tifoid aktif, sedangkan skor +6 sampai +10 menandakan indikasi kuat adanya infeksi tifoid aktif, dan skor </w:t>
      </w:r>
      <w:r w:rsidR="00861A3B">
        <w:rPr>
          <w:rFonts w:ascii="Verdana" w:hAnsi="Verdana" w:cs="Times New Roman"/>
          <w:sz w:val="20"/>
          <w:szCs w:val="20"/>
        </w:rPr>
        <w:t>pada kontrol positif biasanya ≥</w:t>
      </w:r>
      <w:r w:rsidRPr="00C15BBA">
        <w:rPr>
          <w:rFonts w:ascii="Verdana" w:hAnsi="Verdana" w:cs="Times New Roman"/>
          <w:sz w:val="20"/>
          <w:szCs w:val="20"/>
        </w:rPr>
        <w:t xml:space="preserve">+8.  Pada penelitian ini yang dianggap sebagai Tubex positif adalah apabila skor pemeriksaan sebesar </w:t>
      </w:r>
      <w:r w:rsidRPr="00C15BBA">
        <w:rPr>
          <w:rFonts w:ascii="Verdana" w:hAnsi="Verdana" w:cs="Times New Roman"/>
          <w:sz w:val="20"/>
          <w:szCs w:val="20"/>
        </w:rPr>
        <w:lastRenderedPageBreak/>
        <w:t>≥4</w:t>
      </w:r>
      <w:r w:rsidR="00AF506E" w:rsidRPr="00C15BBA">
        <w:rPr>
          <w:rFonts w:ascii="Verdana" w:hAnsi="Verdana" w:cs="Times New Roman"/>
          <w:sz w:val="20"/>
          <w:szCs w:val="20"/>
        </w:rPr>
        <w:t xml:space="preserve">. </w:t>
      </w:r>
      <w:r w:rsidRPr="00C15BBA">
        <w:rPr>
          <w:rFonts w:ascii="Verdana" w:hAnsi="Verdana" w:cs="Times New Roman"/>
          <w:sz w:val="20"/>
          <w:szCs w:val="20"/>
        </w:rPr>
        <w:t xml:space="preserve">Hasil penelitian ini sejalan dengan penelitian Saputri (2022) menunjukkan gambaran hasil pemeriksaan tubex positif </w:t>
      </w:r>
      <w:r w:rsidR="00861A3B">
        <w:rPr>
          <w:rFonts w:ascii="Verdana" w:hAnsi="Verdana" w:cs="Times New Roman"/>
          <w:color w:val="000000" w:themeColor="text1"/>
          <w:sz w:val="20"/>
          <w:szCs w:val="20"/>
        </w:rPr>
        <w:t>≥</w:t>
      </w:r>
      <w:r w:rsidRPr="00C15BBA">
        <w:rPr>
          <w:rFonts w:ascii="Verdana" w:hAnsi="Verdana" w:cs="Times New Roman"/>
          <w:sz w:val="20"/>
          <w:szCs w:val="20"/>
        </w:rPr>
        <w:t xml:space="preserve">4 yaitu sebanyak 24 orang (63.2%). Hal ini berkaitan erat dengan nilai sensitifitas dan spesifitas dari pemeriksaan tubex test </w:t>
      </w:r>
      <w:r w:rsidR="007A2FBD" w:rsidRPr="00C15BBA">
        <w:rPr>
          <w:rFonts w:ascii="Verdana" w:hAnsi="Verdana" w:cs="Times New Roman"/>
          <w:sz w:val="20"/>
          <w:szCs w:val="20"/>
        </w:rPr>
        <w:t>(Pratiwi. et. al.)</w:t>
      </w:r>
      <w:r w:rsidRPr="00C15BBA">
        <w:rPr>
          <w:rFonts w:ascii="Verdana" w:hAnsi="Verdana" w:cs="Times New Roman"/>
          <w:sz w:val="20"/>
          <w:szCs w:val="20"/>
        </w:rPr>
        <w:t>.</w:t>
      </w:r>
    </w:p>
    <w:p w14:paraId="5E151052" w14:textId="67C60565" w:rsidR="00113E9D" w:rsidRDefault="00EE60DB" w:rsidP="00FA4992">
      <w:pPr>
        <w:spacing w:after="0" w:line="240" w:lineRule="auto"/>
        <w:ind w:firstLine="630"/>
        <w:jc w:val="both"/>
        <w:rPr>
          <w:rFonts w:ascii="Verdana" w:hAnsi="Verdana" w:cs="Times New Roman"/>
          <w:sz w:val="20"/>
          <w:szCs w:val="20"/>
        </w:rPr>
      </w:pPr>
      <w:r w:rsidRPr="00C15BBA">
        <w:rPr>
          <w:rFonts w:ascii="Verdana" w:hAnsi="Verdana" w:cs="Times New Roman"/>
          <w:sz w:val="20"/>
          <w:szCs w:val="20"/>
        </w:rPr>
        <w:t>Salah satu uji dalam menegakkan diagnosis demam ti</w:t>
      </w:r>
      <w:r w:rsidR="00861A3B">
        <w:rPr>
          <w:rFonts w:ascii="Verdana" w:hAnsi="Verdana" w:cs="Times New Roman"/>
          <w:sz w:val="20"/>
          <w:szCs w:val="20"/>
        </w:rPr>
        <w:t>foid adalah tes tubex TF. Uji T</w:t>
      </w:r>
      <w:r w:rsidRPr="00C15BBA">
        <w:rPr>
          <w:rFonts w:ascii="Verdana" w:hAnsi="Verdana" w:cs="Times New Roman"/>
          <w:sz w:val="20"/>
          <w:szCs w:val="20"/>
        </w:rPr>
        <w:t>ubex TF ini hanya dapat mendeteksi IgM, yang membuat tes ini sangat bernilai dalam menunjang diagnosis infeksi akut.</w:t>
      </w:r>
      <w:r w:rsidRPr="00C15BBA">
        <w:rPr>
          <w:rFonts w:ascii="Verdana" w:hAnsi="Verdana" w:cs="Times New Roman"/>
          <w:i/>
          <w:sz w:val="20"/>
          <w:szCs w:val="20"/>
        </w:rPr>
        <w:t xml:space="preserve"> </w:t>
      </w:r>
      <w:r w:rsidRPr="00C15BBA">
        <w:rPr>
          <w:rFonts w:ascii="Verdana" w:hAnsi="Verdana" w:cs="Times New Roman"/>
          <w:sz w:val="20"/>
          <w:szCs w:val="20"/>
        </w:rPr>
        <w:t xml:space="preserve">Oleh karena itu kalau sampel darah pasien yang diperiksa dengan uji tubex mengandung IgM </w:t>
      </w:r>
      <w:r w:rsidRPr="00C15BBA">
        <w:rPr>
          <w:rFonts w:ascii="Verdana" w:hAnsi="Verdana" w:cs="Times New Roman"/>
          <w:i/>
          <w:sz w:val="20"/>
          <w:szCs w:val="20"/>
        </w:rPr>
        <w:t>Salmonella typhi</w:t>
      </w:r>
      <w:r w:rsidRPr="00C15BBA">
        <w:rPr>
          <w:rFonts w:ascii="Verdana" w:hAnsi="Verdana" w:cs="Times New Roman"/>
          <w:sz w:val="20"/>
          <w:szCs w:val="20"/>
        </w:rPr>
        <w:t xml:space="preserve"> maka hasilnya akan positif demam tifoid. </w:t>
      </w:r>
      <w:r w:rsidRPr="00C15BBA">
        <w:rPr>
          <w:rFonts w:ascii="Verdana" w:hAnsi="Verdana" w:cs="Times New Roman"/>
          <w:i/>
          <w:sz w:val="20"/>
          <w:szCs w:val="20"/>
        </w:rPr>
        <w:t xml:space="preserve"> </w:t>
      </w:r>
      <w:proofErr w:type="gramStart"/>
      <w:r w:rsidRPr="00C15BBA">
        <w:rPr>
          <w:rFonts w:ascii="Verdana" w:hAnsi="Verdana" w:cs="Times New Roman"/>
          <w:sz w:val="20"/>
          <w:szCs w:val="20"/>
        </w:rPr>
        <w:t xml:space="preserve">Uji Tubex dapat menjadi pemeriksaan ideal, dan dapat digunakan untuk pemeriksaan rutin karena sederhana dan akurat untuk digunakan dalam penegakan diagnosis demam tifoid </w:t>
      </w:r>
      <w:r w:rsidR="007A2FBD" w:rsidRPr="00C15BBA">
        <w:rPr>
          <w:rFonts w:ascii="Verdana" w:hAnsi="Verdana" w:cs="Times New Roman"/>
          <w:sz w:val="20"/>
          <w:szCs w:val="20"/>
        </w:rPr>
        <w:t>(Mahapriyasi, 2016)</w:t>
      </w:r>
      <w:r w:rsidRPr="00C15BBA">
        <w:rPr>
          <w:rFonts w:ascii="Verdana" w:hAnsi="Verdana" w:cs="Times New Roman"/>
          <w:sz w:val="20"/>
          <w:szCs w:val="20"/>
        </w:rPr>
        <w:t>.</w:t>
      </w:r>
      <w:bookmarkStart w:id="1" w:name="_Toc130508807"/>
      <w:proofErr w:type="gramEnd"/>
    </w:p>
    <w:p w14:paraId="7464224E" w14:textId="77777777" w:rsidR="00C3492A" w:rsidRDefault="00C3492A" w:rsidP="00FA4992">
      <w:pPr>
        <w:spacing w:after="0" w:line="240" w:lineRule="auto"/>
        <w:ind w:firstLine="630"/>
        <w:jc w:val="both"/>
        <w:rPr>
          <w:rFonts w:ascii="Verdana" w:hAnsi="Verdana" w:cs="Times New Roman"/>
          <w:sz w:val="20"/>
          <w:szCs w:val="20"/>
        </w:rPr>
      </w:pPr>
    </w:p>
    <w:bookmarkEnd w:id="1"/>
    <w:p w14:paraId="76D4E2CA" w14:textId="77777777" w:rsidR="00C15BBA" w:rsidRDefault="00EE60DB" w:rsidP="00FA4992">
      <w:pPr>
        <w:spacing w:after="0" w:line="240" w:lineRule="auto"/>
        <w:contextualSpacing/>
        <w:jc w:val="both"/>
        <w:rPr>
          <w:rFonts w:ascii="Verdana" w:hAnsi="Verdana" w:cs="Times New Roman"/>
          <w:sz w:val="20"/>
          <w:szCs w:val="20"/>
        </w:rPr>
      </w:pPr>
      <w:r w:rsidRPr="00C15BBA">
        <w:rPr>
          <w:rFonts w:ascii="Verdana" w:eastAsia="Cambria" w:hAnsi="Verdana" w:cs="Times New Roman"/>
          <w:b/>
          <w:sz w:val="20"/>
          <w:szCs w:val="20"/>
          <w:lang w:eastAsia="en-US"/>
        </w:rPr>
        <w:t xml:space="preserve">Gambaran </w:t>
      </w:r>
      <w:r w:rsidR="00C15BBA" w:rsidRPr="00C15BBA">
        <w:rPr>
          <w:rFonts w:ascii="Verdana" w:eastAsia="Cambria" w:hAnsi="Verdana" w:cs="Times New Roman"/>
          <w:b/>
          <w:sz w:val="20"/>
          <w:szCs w:val="20"/>
          <w:lang w:eastAsia="en-US"/>
        </w:rPr>
        <w:t>Angka Leukosit Pada Pasien Demam Tifoid</w:t>
      </w:r>
      <w:r w:rsidR="00C15BBA" w:rsidRPr="00C15BBA">
        <w:rPr>
          <w:rFonts w:ascii="Verdana" w:hAnsi="Verdana" w:cs="Times New Roman"/>
          <w:sz w:val="20"/>
          <w:szCs w:val="20"/>
        </w:rPr>
        <w:t xml:space="preserve"> </w:t>
      </w:r>
    </w:p>
    <w:p w14:paraId="11663F1C" w14:textId="4C5F15D1" w:rsidR="00EE60DB" w:rsidRPr="00C15BBA" w:rsidRDefault="00EE60DB" w:rsidP="00FA4992">
      <w:pPr>
        <w:spacing w:after="0" w:line="240" w:lineRule="auto"/>
        <w:ind w:firstLine="630"/>
        <w:contextualSpacing/>
        <w:jc w:val="both"/>
        <w:rPr>
          <w:rFonts w:ascii="Verdana" w:hAnsi="Verdana" w:cs="Times New Roman"/>
          <w:sz w:val="20"/>
          <w:szCs w:val="20"/>
        </w:rPr>
      </w:pPr>
      <w:r w:rsidRPr="00C15BBA">
        <w:rPr>
          <w:rFonts w:ascii="Verdana" w:hAnsi="Verdana" w:cs="Times New Roman"/>
          <w:sz w:val="20"/>
          <w:szCs w:val="20"/>
        </w:rPr>
        <w:t xml:space="preserve">Frekuensi pasien demam tifoid berdasarkan angka leukosit sebagian besar menunjukkan hasilnya didominasi oleh pasien dengan jumlah leukosit kategori normal sebanyak 117 orang. Jumlah leukosit normal pada pasien demam tifoid ini diakibatkan oleh patogenesis dari demam tifoid itu sendiri. </w:t>
      </w:r>
      <w:r w:rsidRPr="00C15BBA">
        <w:rPr>
          <w:rFonts w:ascii="Verdana" w:hAnsi="Verdana" w:cs="Times New Roman"/>
          <w:i/>
          <w:sz w:val="20"/>
          <w:szCs w:val="20"/>
        </w:rPr>
        <w:t>Salmonella</w:t>
      </w:r>
      <w:r w:rsidRPr="00C15BBA">
        <w:rPr>
          <w:rFonts w:ascii="Verdana" w:hAnsi="Verdana" w:cs="Times New Roman"/>
          <w:sz w:val="20"/>
          <w:szCs w:val="20"/>
        </w:rPr>
        <w:t xml:space="preserve"> melakukan penetrasi ke lapisan mukosa usus, setelah itu </w:t>
      </w:r>
      <w:r w:rsidRPr="00C15BBA">
        <w:rPr>
          <w:rFonts w:ascii="Verdana" w:hAnsi="Verdana" w:cs="Times New Roman"/>
          <w:i/>
          <w:sz w:val="20"/>
          <w:szCs w:val="20"/>
        </w:rPr>
        <w:t>S.typhi</w:t>
      </w:r>
      <w:r w:rsidRPr="00C15BBA">
        <w:rPr>
          <w:rFonts w:ascii="Verdana" w:hAnsi="Verdana" w:cs="Times New Roman"/>
          <w:sz w:val="20"/>
          <w:szCs w:val="20"/>
        </w:rPr>
        <w:t xml:space="preserve"> akan difagositosis oleh sel fagosit, bakteri ini justru akan bertahan di dalam sel fagosit yang dapat memberikan perlindungan bagi bakteri untuk menyebar ke seluruh tubuh dan terlindung dari antibodi serta agen-agen antimikrobial sehingga tidak terjadi respon tubuh untuk meningkatkan jumlah leukosit </w:t>
      </w:r>
      <w:r w:rsidR="007A2FBD" w:rsidRPr="00C15BBA">
        <w:rPr>
          <w:rFonts w:ascii="Verdana" w:hAnsi="Verdana" w:cs="Times New Roman"/>
          <w:sz w:val="20"/>
          <w:szCs w:val="20"/>
        </w:rPr>
        <w:t>(Nazilah, et. al., 2013)</w:t>
      </w:r>
      <w:r w:rsidRPr="00C15BBA">
        <w:rPr>
          <w:rFonts w:ascii="Verdana" w:hAnsi="Verdana" w:cs="Times New Roman"/>
          <w:sz w:val="20"/>
          <w:szCs w:val="20"/>
        </w:rPr>
        <w:t xml:space="preserve">. </w:t>
      </w:r>
    </w:p>
    <w:p w14:paraId="31EBD25A" w14:textId="08CE7565" w:rsidR="00EE60DB" w:rsidRPr="00C15BBA" w:rsidRDefault="00EE60DB" w:rsidP="00FA4992">
      <w:pPr>
        <w:spacing w:after="0" w:line="240" w:lineRule="auto"/>
        <w:ind w:firstLine="630"/>
        <w:jc w:val="both"/>
        <w:rPr>
          <w:rFonts w:ascii="Verdana" w:hAnsi="Verdana" w:cs="Times New Roman"/>
          <w:color w:val="000000" w:themeColor="text1"/>
          <w:sz w:val="20"/>
          <w:szCs w:val="20"/>
        </w:rPr>
      </w:pPr>
      <w:r w:rsidRPr="00C15BBA">
        <w:rPr>
          <w:rFonts w:ascii="Verdana" w:hAnsi="Verdana" w:cs="Times New Roman"/>
          <w:color w:val="000000" w:themeColor="text1"/>
          <w:sz w:val="20"/>
          <w:szCs w:val="20"/>
        </w:rPr>
        <w:t xml:space="preserve">Menurut penelitian Khairunnisa, Hidayat and Herardi, 2020 ditemukan jumlah leukosit normal sebanyak 35,7% karena faktor lama dirawat dan pengobatan juga menentukan jumlah leukosit. Berdasarkan kasus ditemukan jumlah leukosit normal pada penderita demam tifoid dapat terjadi akibat penderita telah mendapat pengobatan sebelumnya, sehingga belum mengalami supresi sumsum tulang dan pendarahan usus atau jumlah leukosit meningkat dari normal. Selain itu, asupan gizi yang </w:t>
      </w:r>
      <w:r w:rsidRPr="00C15BBA">
        <w:rPr>
          <w:rFonts w:ascii="Verdana" w:hAnsi="Verdana" w:cs="Times New Roman"/>
          <w:color w:val="000000" w:themeColor="text1"/>
          <w:sz w:val="20"/>
          <w:szCs w:val="20"/>
        </w:rPr>
        <w:lastRenderedPageBreak/>
        <w:t xml:space="preserve">seimbang juga mempengaruhi proses pembentukan sel leukosit </w:t>
      </w:r>
      <w:r w:rsidR="007A2FBD" w:rsidRPr="00C15BBA">
        <w:rPr>
          <w:rFonts w:ascii="Verdana" w:hAnsi="Verdana" w:cs="Times New Roman"/>
          <w:color w:val="000000" w:themeColor="text1"/>
          <w:sz w:val="20"/>
          <w:szCs w:val="20"/>
        </w:rPr>
        <w:t>(Khairunnisa et al., 2020)</w:t>
      </w:r>
      <w:r w:rsidRPr="00C15BBA">
        <w:rPr>
          <w:rFonts w:ascii="Verdana" w:hAnsi="Verdana" w:cs="Times New Roman"/>
          <w:color w:val="000000" w:themeColor="text1"/>
          <w:sz w:val="20"/>
          <w:szCs w:val="20"/>
        </w:rPr>
        <w:t>.</w:t>
      </w:r>
    </w:p>
    <w:p w14:paraId="5C7B4712" w14:textId="1A9B390D" w:rsidR="00EE60DB" w:rsidRDefault="00EE60DB" w:rsidP="00FA4992">
      <w:pPr>
        <w:spacing w:after="0" w:line="240" w:lineRule="auto"/>
        <w:ind w:firstLine="630"/>
        <w:jc w:val="both"/>
        <w:rPr>
          <w:rFonts w:ascii="Verdana" w:hAnsi="Verdana" w:cs="Times New Roman"/>
          <w:sz w:val="20"/>
          <w:szCs w:val="20"/>
        </w:rPr>
      </w:pPr>
      <w:r w:rsidRPr="00C15BBA">
        <w:rPr>
          <w:rFonts w:ascii="Verdana" w:hAnsi="Verdana" w:cs="Times New Roman"/>
          <w:sz w:val="20"/>
          <w:szCs w:val="20"/>
        </w:rPr>
        <w:t xml:space="preserve">Pada pasien demam tifoid biasanya </w:t>
      </w:r>
      <w:proofErr w:type="gramStart"/>
      <w:r w:rsidRPr="00C15BBA">
        <w:rPr>
          <w:rFonts w:ascii="Verdana" w:hAnsi="Verdana" w:cs="Times New Roman"/>
          <w:sz w:val="20"/>
          <w:szCs w:val="20"/>
        </w:rPr>
        <w:t>ditemukan  leukosit</w:t>
      </w:r>
      <w:proofErr w:type="gramEnd"/>
      <w:r w:rsidRPr="00C15BBA">
        <w:rPr>
          <w:rFonts w:ascii="Verdana" w:hAnsi="Verdana" w:cs="Times New Roman"/>
          <w:sz w:val="20"/>
          <w:szCs w:val="20"/>
        </w:rPr>
        <w:t xml:space="preserve"> berupa leukopenia hal ini terjadi karena kuman ini masih ada dalam sumsum tulang dengan adanya bakteri yang hidup dalam sumsum tulang maka dapat mempengaruhi proses pembentukan darah (hematopoiesis) dan memungkinkan pembentukan kadar sel leukosit terhambat sehingga terjadi penurunan jumlah leukosit (leukopenia) </w:t>
      </w:r>
      <w:r w:rsidR="007A2FBD" w:rsidRPr="00C15BBA">
        <w:rPr>
          <w:rFonts w:ascii="Verdana" w:hAnsi="Verdana" w:cs="Times New Roman"/>
          <w:sz w:val="20"/>
          <w:szCs w:val="20"/>
        </w:rPr>
        <w:t>(Ramadhayanti, 2020)</w:t>
      </w:r>
      <w:r w:rsidRPr="00C15BBA">
        <w:rPr>
          <w:rFonts w:ascii="Verdana" w:hAnsi="Verdana" w:cs="Times New Roman"/>
          <w:sz w:val="20"/>
          <w:szCs w:val="20"/>
        </w:rPr>
        <w:t xml:space="preserve">. Namun, pada penelitian ini didapatkan 78% dengan hasil jumlah leukosit normal. </w:t>
      </w:r>
      <w:proofErr w:type="gramStart"/>
      <w:r w:rsidRPr="00C15BBA">
        <w:rPr>
          <w:rFonts w:ascii="Verdana" w:hAnsi="Verdana" w:cs="Times New Roman"/>
          <w:sz w:val="20"/>
          <w:szCs w:val="20"/>
        </w:rPr>
        <w:t>Hal ini diasumsikan karena jumlah endotoksin yang ada dalam tubuh penderita masih sedikit atau belum mencapai batas toksik sehingga efek yang ditimbulkan belum terlihat.</w:t>
      </w:r>
      <w:proofErr w:type="gramEnd"/>
    </w:p>
    <w:p w14:paraId="19590674" w14:textId="77777777" w:rsidR="00C3492A" w:rsidRPr="00C15BBA" w:rsidRDefault="00C3492A" w:rsidP="00FA4992">
      <w:pPr>
        <w:spacing w:after="0" w:line="240" w:lineRule="auto"/>
        <w:ind w:firstLine="630"/>
        <w:jc w:val="both"/>
        <w:rPr>
          <w:rFonts w:ascii="Verdana" w:hAnsi="Verdana" w:cs="Times New Roman"/>
          <w:sz w:val="20"/>
          <w:szCs w:val="20"/>
        </w:rPr>
      </w:pPr>
    </w:p>
    <w:p w14:paraId="0A80E2DE" w14:textId="0A692FC2" w:rsidR="00C15BBA" w:rsidRDefault="00642FF0" w:rsidP="00FA4992">
      <w:pPr>
        <w:spacing w:after="0" w:line="240" w:lineRule="auto"/>
        <w:jc w:val="both"/>
        <w:rPr>
          <w:rFonts w:ascii="Verdana" w:eastAsia="Cambria" w:hAnsi="Verdana" w:cs="Times New Roman"/>
          <w:b/>
          <w:sz w:val="20"/>
          <w:szCs w:val="20"/>
          <w:lang w:eastAsia="en-US"/>
        </w:rPr>
      </w:pPr>
      <w:r>
        <w:rPr>
          <w:rFonts w:ascii="Verdana" w:eastAsia="Cambria" w:hAnsi="Verdana" w:cs="Times New Roman"/>
          <w:b/>
          <w:sz w:val="20"/>
          <w:szCs w:val="20"/>
          <w:lang w:eastAsia="en-US"/>
        </w:rPr>
        <w:t>Hubungan</w:t>
      </w:r>
      <w:r w:rsidR="00C15BBA" w:rsidRPr="00C15BBA">
        <w:rPr>
          <w:rFonts w:ascii="Verdana" w:eastAsia="Cambria" w:hAnsi="Verdana" w:cs="Times New Roman"/>
          <w:b/>
          <w:sz w:val="20"/>
          <w:szCs w:val="20"/>
          <w:lang w:eastAsia="en-US"/>
        </w:rPr>
        <w:t xml:space="preserve"> Tubex TF Terhadap Angka Leukosit</w:t>
      </w:r>
    </w:p>
    <w:p w14:paraId="278E5C5A" w14:textId="4B43FE55" w:rsidR="00EE60DB" w:rsidRPr="00C15BBA" w:rsidRDefault="00EE60DB" w:rsidP="00FA4992">
      <w:pPr>
        <w:spacing w:after="0" w:line="240" w:lineRule="auto"/>
        <w:ind w:firstLine="630"/>
        <w:jc w:val="both"/>
        <w:rPr>
          <w:rFonts w:ascii="Verdana" w:hAnsi="Verdana" w:cs="Times New Roman"/>
          <w:sz w:val="20"/>
          <w:szCs w:val="20"/>
        </w:rPr>
      </w:pPr>
      <w:r w:rsidRPr="00C15BBA">
        <w:rPr>
          <w:rFonts w:ascii="Verdana" w:hAnsi="Verdana" w:cs="Times New Roman"/>
          <w:sz w:val="20"/>
          <w:szCs w:val="20"/>
        </w:rPr>
        <w:t xml:space="preserve">Penelitian ini menunjukkan bahwa hasil uji korelasi </w:t>
      </w:r>
      <w:r w:rsidRPr="00C15BBA">
        <w:rPr>
          <w:rFonts w:ascii="Verdana" w:hAnsi="Verdana" w:cs="Times New Roman"/>
          <w:i/>
          <w:sz w:val="20"/>
          <w:szCs w:val="20"/>
        </w:rPr>
        <w:t>spearman</w:t>
      </w:r>
      <w:r w:rsidRPr="00C15BBA">
        <w:rPr>
          <w:rFonts w:ascii="Verdana" w:hAnsi="Verdana" w:cs="Times New Roman"/>
          <w:sz w:val="20"/>
          <w:szCs w:val="20"/>
        </w:rPr>
        <w:t xml:space="preserve"> dapat  disimpulkan secara statistik (P&lt;0,01) terdapat hubungan antara hasil pemeriksaan  tubex TF dengan hitung jumlah leukosit dengan kekuatan hubungan sedang, dan korelasi negatif -0430,</w:t>
      </w:r>
      <w:r w:rsidRPr="00C15BBA">
        <w:rPr>
          <w:rFonts w:ascii="Verdana" w:hAnsi="Verdana" w:cs="Times New Roman"/>
          <w:bCs/>
          <w:sz w:val="20"/>
          <w:szCs w:val="20"/>
        </w:rPr>
        <w:t xml:space="preserve"> yang menunjukkan keeratan hubungannya dalam kategori sedang dengan arah korelasi negatif</w:t>
      </w:r>
      <w:r w:rsidRPr="00C15BBA">
        <w:rPr>
          <w:rFonts w:ascii="Verdana" w:hAnsi="Verdana" w:cs="Times New Roman"/>
          <w:sz w:val="20"/>
          <w:szCs w:val="20"/>
        </w:rPr>
        <w:t xml:space="preserve"> artinya semakin tinggi derajat kepositifan tubex TF maka semakin rendah angka leukosit. Hal ini dapat disebabkan oleh adanya infeksi </w:t>
      </w:r>
      <w:r w:rsidRPr="00C15BBA">
        <w:rPr>
          <w:rFonts w:ascii="Verdana" w:hAnsi="Verdana" w:cs="Times New Roman"/>
          <w:i/>
          <w:sz w:val="20"/>
          <w:szCs w:val="20"/>
        </w:rPr>
        <w:t>S. typhi</w:t>
      </w:r>
      <w:r w:rsidRPr="00C15BBA">
        <w:rPr>
          <w:rFonts w:ascii="Verdana" w:hAnsi="Verdana" w:cs="Times New Roman"/>
          <w:sz w:val="20"/>
          <w:szCs w:val="20"/>
        </w:rPr>
        <w:t xml:space="preserve"> yang akan mempengaruhi hasil pemeriksaan tubex TF dan pada keadaan tertentu dapat berpengaruh pada hasil pemeriksaan hitung jumlah leukosit. </w:t>
      </w:r>
    </w:p>
    <w:p w14:paraId="54204AD1" w14:textId="3195831A" w:rsidR="00504226" w:rsidRDefault="00EE60DB" w:rsidP="00FA4992">
      <w:pPr>
        <w:spacing w:after="0" w:line="240" w:lineRule="auto"/>
        <w:ind w:firstLine="630"/>
        <w:jc w:val="both"/>
        <w:rPr>
          <w:rFonts w:ascii="Verdana" w:hAnsi="Verdana" w:cs="Times New Roman"/>
          <w:sz w:val="20"/>
          <w:szCs w:val="20"/>
        </w:rPr>
      </w:pPr>
      <w:r w:rsidRPr="00C15BBA">
        <w:rPr>
          <w:rFonts w:ascii="Verdana" w:hAnsi="Verdana" w:cs="Times New Roman"/>
          <w:b/>
          <w:sz w:val="20"/>
          <w:szCs w:val="20"/>
        </w:rPr>
        <w:tab/>
      </w:r>
      <w:r w:rsidRPr="00C15BBA">
        <w:rPr>
          <w:rFonts w:ascii="Verdana" w:hAnsi="Verdana" w:cs="Times New Roman"/>
          <w:sz w:val="20"/>
          <w:szCs w:val="20"/>
        </w:rPr>
        <w:t>Penelitian ini sejalan dengan penelitian Oktaviani H pada tahun 2019 di RSUD Budhi Asih bahwasanya terdapat hubungan antara derajat kepostifan tubex TF dengan angka leukosit, dari penelitian tersebut dijelaskan bahwasanya semakin tinggi skala kepositifan tubex TF maka akan semakin rendah jumlah leukosit (</w:t>
      </w:r>
      <w:r w:rsidR="00AD121F" w:rsidRPr="00C15BBA">
        <w:rPr>
          <w:rFonts w:ascii="Verdana" w:hAnsi="Verdana" w:cs="Times New Roman"/>
          <w:sz w:val="20"/>
          <w:szCs w:val="20"/>
        </w:rPr>
        <w:t>Oktaviani, 2019</w:t>
      </w:r>
      <w:r w:rsidRPr="00C15BBA">
        <w:rPr>
          <w:rFonts w:ascii="Verdana" w:hAnsi="Verdana" w:cs="Times New Roman"/>
          <w:sz w:val="20"/>
          <w:szCs w:val="20"/>
        </w:rPr>
        <w:t>).</w:t>
      </w:r>
    </w:p>
    <w:p w14:paraId="5BB2C609" w14:textId="77777777" w:rsidR="00C3492A" w:rsidRPr="00861A3B" w:rsidRDefault="00C3492A" w:rsidP="00FA4992">
      <w:pPr>
        <w:spacing w:after="0" w:line="240" w:lineRule="auto"/>
        <w:ind w:firstLine="630"/>
        <w:jc w:val="both"/>
        <w:rPr>
          <w:rFonts w:ascii="Verdana" w:hAnsi="Verdana" w:cs="Times New Roman"/>
          <w:sz w:val="20"/>
          <w:szCs w:val="20"/>
        </w:rPr>
      </w:pPr>
    </w:p>
    <w:p w14:paraId="146C4CAD" w14:textId="48EA0074" w:rsidR="00113E9D" w:rsidRPr="00C15BBA" w:rsidRDefault="00113E9D" w:rsidP="00FA4992">
      <w:pPr>
        <w:autoSpaceDE w:val="0"/>
        <w:autoSpaceDN w:val="0"/>
        <w:adjustRightInd w:val="0"/>
        <w:spacing w:after="0" w:line="240" w:lineRule="auto"/>
        <w:jc w:val="both"/>
        <w:rPr>
          <w:rFonts w:ascii="Verdana" w:hAnsi="Verdana" w:cs="Times New Roman"/>
          <w:b/>
          <w:sz w:val="20"/>
          <w:szCs w:val="20"/>
        </w:rPr>
      </w:pPr>
      <w:r w:rsidRPr="00C15BBA">
        <w:rPr>
          <w:rFonts w:ascii="Verdana" w:hAnsi="Verdana" w:cs="Times New Roman"/>
          <w:b/>
          <w:sz w:val="20"/>
          <w:szCs w:val="20"/>
        </w:rPr>
        <w:t>SIMPULAN</w:t>
      </w:r>
    </w:p>
    <w:p w14:paraId="1FECA81F" w14:textId="6551FB2C" w:rsidR="00C15BBA" w:rsidRDefault="00642FF0" w:rsidP="00FA4992">
      <w:pPr>
        <w:spacing w:after="0" w:line="240" w:lineRule="auto"/>
        <w:ind w:firstLine="720"/>
        <w:jc w:val="both"/>
        <w:rPr>
          <w:rFonts w:ascii="Verdana" w:hAnsi="Verdana" w:cs="Times New Roman"/>
          <w:sz w:val="20"/>
          <w:szCs w:val="20"/>
        </w:rPr>
      </w:pPr>
      <w:r>
        <w:rPr>
          <w:rFonts w:ascii="Verdana" w:hAnsi="Verdana" w:cs="Times New Roman"/>
          <w:sz w:val="20"/>
          <w:szCs w:val="20"/>
        </w:rPr>
        <w:t>Kesimpulan dari penelitian ini adalah k</w:t>
      </w:r>
      <w:r w:rsidR="00EE60DB" w:rsidRPr="00C15BBA">
        <w:rPr>
          <w:rFonts w:ascii="Verdana" w:hAnsi="Verdana" w:cs="Times New Roman"/>
          <w:sz w:val="20"/>
          <w:szCs w:val="20"/>
        </w:rPr>
        <w:t xml:space="preserve">arakteristik pasien demam tifoid </w:t>
      </w:r>
      <w:r w:rsidR="00EE60DB" w:rsidRPr="00C15BBA">
        <w:rPr>
          <w:rFonts w:ascii="Verdana" w:hAnsi="Verdana" w:cs="Times New Roman"/>
          <w:sz w:val="20"/>
          <w:szCs w:val="20"/>
        </w:rPr>
        <w:lastRenderedPageBreak/>
        <w:t>di RSUD Cut Meutia Aceh Utara terbanyak dengan usia 17-25 tahun sebanyak 43 pasien dengan jenis kelam</w:t>
      </w:r>
      <w:r w:rsidR="00861A3B">
        <w:rPr>
          <w:rFonts w:ascii="Verdana" w:hAnsi="Verdana" w:cs="Times New Roman"/>
          <w:sz w:val="20"/>
          <w:szCs w:val="20"/>
        </w:rPr>
        <w:t xml:space="preserve">in perempuan sebanyak 90 pasien. </w:t>
      </w:r>
      <w:r w:rsidR="00EE60DB" w:rsidRPr="00C15BBA">
        <w:rPr>
          <w:rFonts w:ascii="Verdana" w:hAnsi="Verdana" w:cs="Times New Roman"/>
          <w:sz w:val="20"/>
          <w:szCs w:val="20"/>
        </w:rPr>
        <w:t xml:space="preserve">Gambaran kepositifan tubex TF sebagian besar ditemukan dengan hasil </w:t>
      </w:r>
      <w:proofErr w:type="gramStart"/>
      <w:r w:rsidR="00EE60DB" w:rsidRPr="00C15BBA">
        <w:rPr>
          <w:rFonts w:ascii="Verdana" w:hAnsi="Verdana" w:cs="Times New Roman"/>
          <w:sz w:val="20"/>
          <w:szCs w:val="20"/>
        </w:rPr>
        <w:t xml:space="preserve">positif </w:t>
      </w:r>
      <w:r w:rsidR="00EE60DB" w:rsidRPr="00C15BBA">
        <w:rPr>
          <w:rFonts w:ascii="Verdana" w:hAnsi="Verdana" w:cs="Times New Roman"/>
          <w:color w:val="000000" w:themeColor="text1"/>
          <w:sz w:val="20"/>
          <w:szCs w:val="20"/>
        </w:rPr>
        <w:t xml:space="preserve"> </w:t>
      </w:r>
      <w:r w:rsidR="00EE60DB" w:rsidRPr="00C15BBA">
        <w:rPr>
          <w:rFonts w:ascii="Verdana" w:hAnsi="Verdana" w:cs="Times New Roman"/>
          <w:sz w:val="20"/>
          <w:szCs w:val="20"/>
        </w:rPr>
        <w:t>4</w:t>
      </w:r>
      <w:proofErr w:type="gramEnd"/>
      <w:r w:rsidR="00EE60DB" w:rsidRPr="00C15BBA">
        <w:rPr>
          <w:rFonts w:ascii="Verdana" w:hAnsi="Verdana" w:cs="Times New Roman"/>
          <w:sz w:val="20"/>
          <w:szCs w:val="20"/>
        </w:rPr>
        <w:t xml:space="preserve">-5  sebanyak 124 pasien dan ditemukan angka leukosit dalam kategori </w:t>
      </w:r>
      <w:r w:rsidR="00861A3B">
        <w:rPr>
          <w:rFonts w:ascii="Verdana" w:hAnsi="Verdana" w:cs="Times New Roman"/>
          <w:sz w:val="20"/>
          <w:szCs w:val="20"/>
        </w:rPr>
        <w:t>normal sebanyak 117 pasien</w:t>
      </w:r>
      <w:r w:rsidR="00EE60DB" w:rsidRPr="00C15BBA">
        <w:rPr>
          <w:rFonts w:ascii="Verdana" w:hAnsi="Verdana" w:cs="Times New Roman"/>
          <w:sz w:val="20"/>
          <w:szCs w:val="20"/>
        </w:rPr>
        <w:t>.</w:t>
      </w:r>
      <w:r w:rsidR="00AF506E" w:rsidRPr="00C15BBA">
        <w:rPr>
          <w:rFonts w:ascii="Verdana" w:hAnsi="Verdana" w:cs="Times New Roman"/>
          <w:sz w:val="20"/>
          <w:szCs w:val="20"/>
        </w:rPr>
        <w:t xml:space="preserve"> </w:t>
      </w:r>
      <w:r w:rsidR="00EE60DB" w:rsidRPr="00C15BBA">
        <w:rPr>
          <w:rFonts w:ascii="Verdana" w:hAnsi="Verdana" w:cs="Times New Roman"/>
          <w:sz w:val="20"/>
          <w:szCs w:val="20"/>
        </w:rPr>
        <w:t>Terdapat hubungan antara hasil pemeriksaan tubex TF (p&lt;0</w:t>
      </w:r>
      <w:proofErr w:type="gramStart"/>
      <w:r w:rsidR="00EE60DB" w:rsidRPr="00C15BBA">
        <w:rPr>
          <w:rFonts w:ascii="Verdana" w:hAnsi="Verdana" w:cs="Times New Roman"/>
          <w:sz w:val="20"/>
          <w:szCs w:val="20"/>
        </w:rPr>
        <w:t>,01</w:t>
      </w:r>
      <w:proofErr w:type="gramEnd"/>
      <w:r w:rsidR="00EE60DB" w:rsidRPr="00C15BBA">
        <w:rPr>
          <w:rFonts w:ascii="Verdana" w:hAnsi="Verdana" w:cs="Times New Roman"/>
          <w:sz w:val="20"/>
          <w:szCs w:val="20"/>
        </w:rPr>
        <w:t>) terhadap jumlah leukosit pada pasien demam tifoid di RS Cut Meutia Aceh Utara, namun keeratan hubungannya dalam kategori sedang.</w:t>
      </w:r>
    </w:p>
    <w:p w14:paraId="097D93CD" w14:textId="77777777" w:rsidR="00C3492A" w:rsidRDefault="00C3492A" w:rsidP="00FA4992">
      <w:pPr>
        <w:spacing w:after="0" w:line="240" w:lineRule="auto"/>
        <w:ind w:firstLine="720"/>
        <w:jc w:val="both"/>
        <w:rPr>
          <w:rFonts w:ascii="Verdana" w:hAnsi="Verdana" w:cs="Times New Roman"/>
          <w:sz w:val="20"/>
          <w:szCs w:val="20"/>
        </w:rPr>
      </w:pPr>
    </w:p>
    <w:p w14:paraId="0D996DF7" w14:textId="3DD43BD1" w:rsidR="00C15BBA" w:rsidRDefault="00C15BBA" w:rsidP="00FA4992">
      <w:pPr>
        <w:spacing w:after="0" w:line="240" w:lineRule="auto"/>
        <w:jc w:val="both"/>
        <w:rPr>
          <w:rFonts w:ascii="Verdana" w:hAnsi="Verdana" w:cs="Times New Roman"/>
          <w:b/>
          <w:bCs/>
          <w:sz w:val="20"/>
          <w:szCs w:val="20"/>
        </w:rPr>
      </w:pPr>
      <w:r w:rsidRPr="00C15BBA">
        <w:rPr>
          <w:rFonts w:ascii="Verdana" w:hAnsi="Verdana" w:cs="Times New Roman"/>
          <w:b/>
          <w:bCs/>
          <w:sz w:val="20"/>
          <w:szCs w:val="20"/>
        </w:rPr>
        <w:t>SARAN</w:t>
      </w:r>
    </w:p>
    <w:p w14:paraId="1207A435" w14:textId="63DD7D33" w:rsidR="00C15BBA" w:rsidRDefault="00861A3B" w:rsidP="00FA4992">
      <w:pPr>
        <w:spacing w:after="0" w:line="240" w:lineRule="auto"/>
        <w:ind w:firstLine="720"/>
        <w:jc w:val="both"/>
        <w:rPr>
          <w:rFonts w:ascii="Verdana" w:hAnsi="Verdana" w:cs="Times New Roman"/>
          <w:sz w:val="20"/>
          <w:szCs w:val="20"/>
        </w:rPr>
      </w:pPr>
      <w:r>
        <w:rPr>
          <w:rFonts w:ascii="Verdana" w:hAnsi="Verdana" w:cs="Times New Roman"/>
          <w:sz w:val="20"/>
          <w:szCs w:val="20"/>
        </w:rPr>
        <w:t>Saran dari penelitian ini adalah b</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gi</w:t>
      </w:r>
      <w:r w:rsidR="00C15BBA" w:rsidRPr="00861A3B">
        <w:rPr>
          <w:rFonts w:ascii="Verdana" w:hAnsi="Verdana" w:cs="Times New Roman"/>
          <w:spacing w:val="25"/>
          <w:sz w:val="20"/>
          <w:szCs w:val="20"/>
        </w:rPr>
        <w:t xml:space="preserve"> </w:t>
      </w:r>
      <w:r w:rsidR="00C15BBA" w:rsidRPr="00861A3B">
        <w:rPr>
          <w:rFonts w:ascii="Verdana" w:hAnsi="Verdana" w:cs="Times New Roman"/>
          <w:sz w:val="20"/>
          <w:szCs w:val="20"/>
        </w:rPr>
        <w:t>ru</w:t>
      </w:r>
      <w:r w:rsidR="00C15BBA" w:rsidRPr="00861A3B">
        <w:rPr>
          <w:rFonts w:ascii="Verdana" w:hAnsi="Verdana" w:cs="Times New Roman"/>
          <w:spacing w:val="1"/>
          <w:sz w:val="20"/>
          <w:szCs w:val="20"/>
        </w:rPr>
        <w:t>ma</w:t>
      </w:r>
      <w:r w:rsidR="00C15BBA" w:rsidRPr="00861A3B">
        <w:rPr>
          <w:rFonts w:ascii="Verdana" w:hAnsi="Verdana" w:cs="Times New Roman"/>
          <w:sz w:val="20"/>
          <w:szCs w:val="20"/>
        </w:rPr>
        <w:t>h</w:t>
      </w:r>
      <w:r w:rsidR="00C15BBA" w:rsidRPr="00861A3B">
        <w:rPr>
          <w:rFonts w:ascii="Verdana" w:hAnsi="Verdana" w:cs="Times New Roman"/>
          <w:spacing w:val="24"/>
          <w:sz w:val="20"/>
          <w:szCs w:val="20"/>
        </w:rPr>
        <w:t xml:space="preserve"> </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k</w:t>
      </w:r>
      <w:r w:rsidR="00C15BBA" w:rsidRPr="00861A3B">
        <w:rPr>
          <w:rFonts w:ascii="Verdana" w:hAnsi="Verdana" w:cs="Times New Roman"/>
          <w:spacing w:val="1"/>
          <w:sz w:val="20"/>
          <w:szCs w:val="20"/>
        </w:rPr>
        <w:t>it</w:t>
      </w:r>
      <w:r w:rsidR="00C15BBA" w:rsidRPr="00861A3B">
        <w:rPr>
          <w:rFonts w:ascii="Verdana" w:hAnsi="Verdana" w:cs="Times New Roman"/>
          <w:sz w:val="20"/>
          <w:szCs w:val="20"/>
        </w:rPr>
        <w:t>,</w:t>
      </w:r>
      <w:r w:rsidR="00C15BBA" w:rsidRPr="00861A3B">
        <w:rPr>
          <w:rFonts w:ascii="Verdana" w:hAnsi="Verdana" w:cs="Times New Roman"/>
          <w:spacing w:val="24"/>
          <w:sz w:val="20"/>
          <w:szCs w:val="20"/>
        </w:rPr>
        <w:t xml:space="preserve"> </w:t>
      </w:r>
      <w:r w:rsidR="00C15BBA" w:rsidRPr="00861A3B">
        <w:rPr>
          <w:rFonts w:ascii="Verdana" w:hAnsi="Verdana" w:cs="Times New Roman"/>
          <w:sz w:val="20"/>
          <w:szCs w:val="20"/>
        </w:rPr>
        <w:t>d</w:t>
      </w:r>
      <w:r w:rsidR="00C15BBA" w:rsidRPr="00861A3B">
        <w:rPr>
          <w:rFonts w:ascii="Verdana" w:hAnsi="Verdana" w:cs="Times New Roman"/>
          <w:spacing w:val="1"/>
          <w:sz w:val="20"/>
          <w:szCs w:val="20"/>
        </w:rPr>
        <w:t>i</w:t>
      </w:r>
      <w:r w:rsidR="00C15BBA" w:rsidRPr="00861A3B">
        <w:rPr>
          <w:rFonts w:ascii="Verdana" w:hAnsi="Verdana" w:cs="Times New Roman"/>
          <w:sz w:val="20"/>
          <w:szCs w:val="20"/>
        </w:rPr>
        <w:t>h</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r</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pk</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n</w:t>
      </w:r>
      <w:r w:rsidR="00C15BBA" w:rsidRPr="00861A3B">
        <w:rPr>
          <w:rFonts w:ascii="Verdana" w:hAnsi="Verdana" w:cs="Times New Roman"/>
          <w:spacing w:val="24"/>
          <w:sz w:val="20"/>
          <w:szCs w:val="20"/>
        </w:rPr>
        <w:t xml:space="preserve"> </w:t>
      </w:r>
      <w:r w:rsidR="00C15BBA" w:rsidRPr="00861A3B">
        <w:rPr>
          <w:rFonts w:ascii="Verdana" w:hAnsi="Verdana" w:cs="Times New Roman"/>
          <w:sz w:val="20"/>
          <w:szCs w:val="20"/>
        </w:rPr>
        <w:t>d</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p</w:t>
      </w:r>
      <w:r w:rsidR="00C15BBA" w:rsidRPr="00861A3B">
        <w:rPr>
          <w:rFonts w:ascii="Verdana" w:hAnsi="Verdana" w:cs="Times New Roman"/>
          <w:spacing w:val="-3"/>
          <w:sz w:val="20"/>
          <w:szCs w:val="20"/>
        </w:rPr>
        <w:t>a</w:t>
      </w:r>
      <w:r w:rsidR="00C15BBA" w:rsidRPr="00861A3B">
        <w:rPr>
          <w:rFonts w:ascii="Verdana" w:hAnsi="Verdana" w:cs="Times New Roman"/>
          <w:sz w:val="20"/>
          <w:szCs w:val="20"/>
        </w:rPr>
        <w:t>t</w:t>
      </w:r>
      <w:r w:rsidR="00C15BBA" w:rsidRPr="00861A3B">
        <w:rPr>
          <w:rFonts w:ascii="Verdana" w:hAnsi="Verdana" w:cs="Times New Roman"/>
          <w:spacing w:val="25"/>
          <w:sz w:val="20"/>
          <w:szCs w:val="20"/>
        </w:rPr>
        <w:t xml:space="preserve"> </w:t>
      </w:r>
      <w:r w:rsidR="00C15BBA" w:rsidRPr="00861A3B">
        <w:rPr>
          <w:rFonts w:ascii="Verdana" w:hAnsi="Verdana" w:cs="Times New Roman"/>
          <w:spacing w:val="1"/>
          <w:sz w:val="20"/>
          <w:szCs w:val="20"/>
        </w:rPr>
        <w:t>me</w:t>
      </w:r>
      <w:r w:rsidR="00C15BBA" w:rsidRPr="00861A3B">
        <w:rPr>
          <w:rFonts w:ascii="Verdana" w:hAnsi="Verdana" w:cs="Times New Roman"/>
          <w:sz w:val="20"/>
          <w:szCs w:val="20"/>
        </w:rPr>
        <w:t>n</w:t>
      </w:r>
      <w:r w:rsidR="00C15BBA" w:rsidRPr="00861A3B">
        <w:rPr>
          <w:rFonts w:ascii="Verdana" w:hAnsi="Verdana" w:cs="Times New Roman"/>
          <w:spacing w:val="-3"/>
          <w:sz w:val="20"/>
          <w:szCs w:val="20"/>
        </w:rPr>
        <w:t>j</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di</w:t>
      </w:r>
      <w:r w:rsidR="00C15BBA" w:rsidRPr="00861A3B">
        <w:rPr>
          <w:rFonts w:ascii="Verdana" w:hAnsi="Verdana" w:cs="Times New Roman"/>
          <w:spacing w:val="25"/>
          <w:sz w:val="20"/>
          <w:szCs w:val="20"/>
        </w:rPr>
        <w:t xml:space="preserve"> </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al</w:t>
      </w:r>
      <w:r w:rsidR="00C15BBA" w:rsidRPr="00861A3B">
        <w:rPr>
          <w:rFonts w:ascii="Verdana" w:hAnsi="Verdana" w:cs="Times New Roman"/>
          <w:spacing w:val="-3"/>
          <w:sz w:val="20"/>
          <w:szCs w:val="20"/>
        </w:rPr>
        <w:t>a</w:t>
      </w:r>
      <w:r w:rsidR="00C15BBA" w:rsidRPr="00861A3B">
        <w:rPr>
          <w:rFonts w:ascii="Verdana" w:hAnsi="Verdana" w:cs="Times New Roman"/>
          <w:sz w:val="20"/>
          <w:szCs w:val="20"/>
        </w:rPr>
        <w:t xml:space="preserve">h </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at</w:t>
      </w:r>
      <w:r w:rsidR="00C15BBA" w:rsidRPr="00861A3B">
        <w:rPr>
          <w:rFonts w:ascii="Verdana" w:hAnsi="Verdana" w:cs="Times New Roman"/>
          <w:sz w:val="20"/>
          <w:szCs w:val="20"/>
        </w:rPr>
        <w:t xml:space="preserve">u </w:t>
      </w:r>
      <w:r w:rsidR="00C15BBA" w:rsidRPr="00861A3B">
        <w:rPr>
          <w:rFonts w:ascii="Verdana" w:hAnsi="Verdana" w:cs="Times New Roman"/>
          <w:spacing w:val="-1"/>
          <w:sz w:val="20"/>
          <w:szCs w:val="20"/>
        </w:rPr>
        <w:t>s</w:t>
      </w:r>
      <w:r w:rsidR="00C15BBA" w:rsidRPr="00861A3B">
        <w:rPr>
          <w:rFonts w:ascii="Verdana" w:hAnsi="Verdana" w:cs="Times New Roman"/>
          <w:sz w:val="20"/>
          <w:szCs w:val="20"/>
        </w:rPr>
        <w:t>u</w:t>
      </w:r>
      <w:r w:rsidR="00C15BBA" w:rsidRPr="00861A3B">
        <w:rPr>
          <w:rFonts w:ascii="Verdana" w:hAnsi="Verdana" w:cs="Times New Roman"/>
          <w:spacing w:val="1"/>
          <w:sz w:val="20"/>
          <w:szCs w:val="20"/>
        </w:rPr>
        <w:t>m</w:t>
      </w:r>
      <w:r w:rsidR="00C15BBA" w:rsidRPr="00861A3B">
        <w:rPr>
          <w:rFonts w:ascii="Verdana" w:hAnsi="Verdana" w:cs="Times New Roman"/>
          <w:sz w:val="20"/>
          <w:szCs w:val="20"/>
        </w:rPr>
        <w:t>b</w:t>
      </w:r>
      <w:r w:rsidR="00C15BBA" w:rsidRPr="00861A3B">
        <w:rPr>
          <w:rFonts w:ascii="Verdana" w:hAnsi="Verdana" w:cs="Times New Roman"/>
          <w:spacing w:val="1"/>
          <w:sz w:val="20"/>
          <w:szCs w:val="20"/>
        </w:rPr>
        <w:t>e</w:t>
      </w:r>
      <w:r w:rsidR="00C15BBA" w:rsidRPr="00861A3B">
        <w:rPr>
          <w:rFonts w:ascii="Verdana" w:hAnsi="Verdana" w:cs="Times New Roman"/>
          <w:sz w:val="20"/>
          <w:szCs w:val="20"/>
        </w:rPr>
        <w:t xml:space="preserve">r </w:t>
      </w:r>
      <w:r w:rsidR="00C15BBA" w:rsidRPr="00861A3B">
        <w:rPr>
          <w:rFonts w:ascii="Verdana" w:hAnsi="Verdana" w:cs="Times New Roman"/>
          <w:spacing w:val="1"/>
          <w:sz w:val="20"/>
          <w:szCs w:val="20"/>
        </w:rPr>
        <w:t>i</w:t>
      </w:r>
      <w:r w:rsidR="00C15BBA" w:rsidRPr="00861A3B">
        <w:rPr>
          <w:rFonts w:ascii="Verdana" w:hAnsi="Verdana" w:cs="Times New Roman"/>
          <w:sz w:val="20"/>
          <w:szCs w:val="20"/>
        </w:rPr>
        <w:t>nfor</w:t>
      </w:r>
      <w:r w:rsidR="00C15BBA" w:rsidRPr="00861A3B">
        <w:rPr>
          <w:rFonts w:ascii="Verdana" w:hAnsi="Verdana" w:cs="Times New Roman"/>
          <w:spacing w:val="-3"/>
          <w:sz w:val="20"/>
          <w:szCs w:val="20"/>
        </w:rPr>
        <w:t>m</w:t>
      </w:r>
      <w:r w:rsidR="00C15BBA" w:rsidRPr="00861A3B">
        <w:rPr>
          <w:rFonts w:ascii="Verdana" w:hAnsi="Verdana" w:cs="Times New Roman"/>
          <w:spacing w:val="1"/>
          <w:sz w:val="20"/>
          <w:szCs w:val="20"/>
        </w:rPr>
        <w:t>a</w:t>
      </w:r>
      <w:r w:rsidR="00C15BBA" w:rsidRPr="00861A3B">
        <w:rPr>
          <w:rFonts w:ascii="Verdana" w:hAnsi="Verdana" w:cs="Times New Roman"/>
          <w:spacing w:val="-1"/>
          <w:sz w:val="20"/>
          <w:szCs w:val="20"/>
        </w:rPr>
        <w:t>s</w:t>
      </w:r>
      <w:r w:rsidR="00C15BBA" w:rsidRPr="00861A3B">
        <w:rPr>
          <w:rFonts w:ascii="Verdana" w:hAnsi="Verdana" w:cs="Times New Roman"/>
          <w:sz w:val="20"/>
          <w:szCs w:val="20"/>
        </w:rPr>
        <w:t>i</w:t>
      </w:r>
      <w:r w:rsidR="00C15BBA" w:rsidRPr="00861A3B">
        <w:rPr>
          <w:rFonts w:ascii="Verdana" w:hAnsi="Verdana" w:cs="Times New Roman"/>
          <w:spacing w:val="1"/>
          <w:sz w:val="20"/>
          <w:szCs w:val="20"/>
        </w:rPr>
        <w:t xml:space="preserve"> </w:t>
      </w:r>
      <w:r w:rsidR="00C15BBA" w:rsidRPr="00861A3B">
        <w:rPr>
          <w:rFonts w:ascii="Verdana" w:hAnsi="Verdana" w:cs="Times New Roman"/>
          <w:sz w:val="20"/>
          <w:szCs w:val="20"/>
        </w:rPr>
        <w:t>d</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 xml:space="preserve">n </w:t>
      </w:r>
      <w:r w:rsidR="00C15BBA" w:rsidRPr="00861A3B">
        <w:rPr>
          <w:rFonts w:ascii="Verdana" w:hAnsi="Verdana" w:cs="Times New Roman"/>
          <w:spacing w:val="-3"/>
          <w:sz w:val="20"/>
          <w:szCs w:val="20"/>
        </w:rPr>
        <w:t>m</w:t>
      </w:r>
      <w:r w:rsidR="00C15BBA" w:rsidRPr="00861A3B">
        <w:rPr>
          <w:rFonts w:ascii="Verdana" w:hAnsi="Verdana" w:cs="Times New Roman"/>
          <w:spacing w:val="1"/>
          <w:sz w:val="20"/>
          <w:szCs w:val="20"/>
        </w:rPr>
        <w:t>a</w:t>
      </w:r>
      <w:r w:rsidR="00C15BBA" w:rsidRPr="00861A3B">
        <w:rPr>
          <w:rFonts w:ascii="Verdana" w:hAnsi="Verdana" w:cs="Times New Roman"/>
          <w:spacing w:val="-1"/>
          <w:sz w:val="20"/>
          <w:szCs w:val="20"/>
        </w:rPr>
        <w:t>s</w:t>
      </w:r>
      <w:r w:rsidR="00C15BBA" w:rsidRPr="00861A3B">
        <w:rPr>
          <w:rFonts w:ascii="Verdana" w:hAnsi="Verdana" w:cs="Times New Roman"/>
          <w:sz w:val="20"/>
          <w:szCs w:val="20"/>
        </w:rPr>
        <w:t>uk</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n b</w:t>
      </w:r>
      <w:r w:rsidR="00C15BBA" w:rsidRPr="00861A3B">
        <w:rPr>
          <w:rFonts w:ascii="Verdana" w:hAnsi="Verdana" w:cs="Times New Roman"/>
          <w:spacing w:val="1"/>
          <w:sz w:val="20"/>
          <w:szCs w:val="20"/>
        </w:rPr>
        <w:t>a</w:t>
      </w:r>
      <w:r w:rsidR="00C15BBA" w:rsidRPr="00861A3B">
        <w:rPr>
          <w:rFonts w:ascii="Verdana" w:hAnsi="Verdana" w:cs="Times New Roman"/>
          <w:spacing w:val="-4"/>
          <w:sz w:val="20"/>
          <w:szCs w:val="20"/>
        </w:rPr>
        <w:t>g</w:t>
      </w:r>
      <w:r w:rsidR="00C15BBA" w:rsidRPr="00861A3B">
        <w:rPr>
          <w:rFonts w:ascii="Verdana" w:hAnsi="Verdana" w:cs="Times New Roman"/>
          <w:sz w:val="20"/>
          <w:szCs w:val="20"/>
        </w:rPr>
        <w:t>i</w:t>
      </w:r>
      <w:r w:rsidR="00C15BBA" w:rsidRPr="00861A3B">
        <w:rPr>
          <w:rFonts w:ascii="Verdana" w:hAnsi="Verdana" w:cs="Times New Roman"/>
          <w:spacing w:val="1"/>
          <w:sz w:val="20"/>
          <w:szCs w:val="20"/>
        </w:rPr>
        <w:t xml:space="preserve"> i</w:t>
      </w:r>
      <w:r w:rsidR="00C15BBA" w:rsidRPr="00861A3B">
        <w:rPr>
          <w:rFonts w:ascii="Verdana" w:hAnsi="Verdana" w:cs="Times New Roman"/>
          <w:sz w:val="20"/>
          <w:szCs w:val="20"/>
        </w:rPr>
        <w:t>n</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ta</w:t>
      </w:r>
      <w:r w:rsidR="00C15BBA" w:rsidRPr="00861A3B">
        <w:rPr>
          <w:rFonts w:ascii="Verdana" w:hAnsi="Verdana" w:cs="Times New Roman"/>
          <w:sz w:val="20"/>
          <w:szCs w:val="20"/>
        </w:rPr>
        <w:t>n</w:t>
      </w:r>
      <w:r w:rsidR="00C15BBA" w:rsidRPr="00861A3B">
        <w:rPr>
          <w:rFonts w:ascii="Verdana" w:hAnsi="Verdana" w:cs="Times New Roman"/>
          <w:spacing w:val="-1"/>
          <w:sz w:val="20"/>
          <w:szCs w:val="20"/>
        </w:rPr>
        <w:t>s</w:t>
      </w:r>
      <w:r w:rsidR="00C15BBA" w:rsidRPr="00861A3B">
        <w:rPr>
          <w:rFonts w:ascii="Verdana" w:hAnsi="Verdana" w:cs="Times New Roman"/>
          <w:sz w:val="20"/>
          <w:szCs w:val="20"/>
        </w:rPr>
        <w:t>i</w:t>
      </w:r>
      <w:r w:rsidR="00C15BBA" w:rsidRPr="00861A3B">
        <w:rPr>
          <w:rFonts w:ascii="Verdana" w:hAnsi="Verdana" w:cs="Times New Roman"/>
          <w:spacing w:val="1"/>
          <w:sz w:val="20"/>
          <w:szCs w:val="20"/>
        </w:rPr>
        <w:t xml:space="preserve"> </w:t>
      </w:r>
      <w:r w:rsidR="00C15BBA" w:rsidRPr="00861A3B">
        <w:rPr>
          <w:rFonts w:ascii="Verdana" w:hAnsi="Verdana" w:cs="Times New Roman"/>
          <w:sz w:val="20"/>
          <w:szCs w:val="20"/>
        </w:rPr>
        <w:t>k</w:t>
      </w:r>
      <w:r w:rsidR="00C15BBA" w:rsidRPr="00861A3B">
        <w:rPr>
          <w:rFonts w:ascii="Verdana" w:hAnsi="Verdana" w:cs="Times New Roman"/>
          <w:spacing w:val="1"/>
          <w:sz w:val="20"/>
          <w:szCs w:val="20"/>
        </w:rPr>
        <w:t>e</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e</w:t>
      </w:r>
      <w:r w:rsidR="00C15BBA" w:rsidRPr="00861A3B">
        <w:rPr>
          <w:rFonts w:ascii="Verdana" w:hAnsi="Verdana" w:cs="Times New Roman"/>
          <w:spacing w:val="-4"/>
          <w:sz w:val="20"/>
          <w:szCs w:val="20"/>
        </w:rPr>
        <w:t>h</w:t>
      </w:r>
      <w:r w:rsidR="00C15BBA" w:rsidRPr="00861A3B">
        <w:rPr>
          <w:rFonts w:ascii="Verdana" w:hAnsi="Verdana" w:cs="Times New Roman"/>
          <w:spacing w:val="1"/>
          <w:sz w:val="20"/>
          <w:szCs w:val="20"/>
        </w:rPr>
        <w:t>ata</w:t>
      </w:r>
      <w:r w:rsidR="00C15BBA" w:rsidRPr="00861A3B">
        <w:rPr>
          <w:rFonts w:ascii="Verdana" w:hAnsi="Verdana" w:cs="Times New Roman"/>
          <w:sz w:val="20"/>
          <w:szCs w:val="20"/>
        </w:rPr>
        <w:t>n</w:t>
      </w:r>
      <w:r w:rsidR="00C15BBA" w:rsidRPr="00861A3B">
        <w:rPr>
          <w:rFonts w:ascii="Verdana" w:hAnsi="Verdana" w:cs="Times New Roman"/>
          <w:spacing w:val="11"/>
          <w:sz w:val="20"/>
          <w:szCs w:val="20"/>
        </w:rPr>
        <w:t xml:space="preserve"> </w:t>
      </w:r>
      <w:r w:rsidR="00C15BBA" w:rsidRPr="00861A3B">
        <w:rPr>
          <w:rFonts w:ascii="Verdana" w:hAnsi="Verdana" w:cs="Times New Roman"/>
          <w:spacing w:val="-1"/>
          <w:sz w:val="20"/>
          <w:szCs w:val="20"/>
        </w:rPr>
        <w:t>s</w:t>
      </w:r>
      <w:r w:rsidR="00C15BBA" w:rsidRPr="00861A3B">
        <w:rPr>
          <w:rFonts w:ascii="Verdana" w:hAnsi="Verdana" w:cs="Times New Roman"/>
          <w:spacing w:val="1"/>
          <w:sz w:val="20"/>
          <w:szCs w:val="20"/>
        </w:rPr>
        <w:t>e</w:t>
      </w:r>
      <w:r w:rsidR="00C15BBA" w:rsidRPr="00861A3B">
        <w:rPr>
          <w:rFonts w:ascii="Verdana" w:hAnsi="Verdana" w:cs="Times New Roman"/>
          <w:spacing w:val="-4"/>
          <w:sz w:val="20"/>
          <w:szCs w:val="20"/>
        </w:rPr>
        <w:t>b</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g</w:t>
      </w:r>
      <w:r w:rsidR="00C15BBA" w:rsidRPr="00861A3B">
        <w:rPr>
          <w:rFonts w:ascii="Verdana" w:hAnsi="Verdana" w:cs="Times New Roman"/>
          <w:spacing w:val="-3"/>
          <w:sz w:val="20"/>
          <w:szCs w:val="20"/>
        </w:rPr>
        <w:t>a</w:t>
      </w:r>
      <w:r w:rsidR="00C15BBA" w:rsidRPr="00861A3B">
        <w:rPr>
          <w:rFonts w:ascii="Verdana" w:hAnsi="Verdana" w:cs="Times New Roman"/>
          <w:sz w:val="20"/>
          <w:szCs w:val="20"/>
        </w:rPr>
        <w:t>i p</w:t>
      </w:r>
      <w:r w:rsidR="00C15BBA" w:rsidRPr="00861A3B">
        <w:rPr>
          <w:rFonts w:ascii="Verdana" w:hAnsi="Verdana" w:cs="Times New Roman"/>
          <w:spacing w:val="1"/>
          <w:sz w:val="20"/>
          <w:szCs w:val="20"/>
        </w:rPr>
        <w:t>e</w:t>
      </w:r>
      <w:r w:rsidR="00C15BBA" w:rsidRPr="00861A3B">
        <w:rPr>
          <w:rFonts w:ascii="Verdana" w:hAnsi="Verdana" w:cs="Times New Roman"/>
          <w:sz w:val="20"/>
          <w:szCs w:val="20"/>
        </w:rPr>
        <w:t>r</w:t>
      </w:r>
      <w:r w:rsidR="00C15BBA" w:rsidRPr="00861A3B">
        <w:rPr>
          <w:rFonts w:ascii="Verdana" w:hAnsi="Verdana" w:cs="Times New Roman"/>
          <w:spacing w:val="1"/>
          <w:sz w:val="20"/>
          <w:szCs w:val="20"/>
        </w:rPr>
        <w:t>tim</w:t>
      </w:r>
      <w:r w:rsidR="00C15BBA" w:rsidRPr="00861A3B">
        <w:rPr>
          <w:rFonts w:ascii="Verdana" w:hAnsi="Verdana" w:cs="Times New Roman"/>
          <w:spacing w:val="-4"/>
          <w:sz w:val="20"/>
          <w:szCs w:val="20"/>
        </w:rPr>
        <w:t>b</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ng</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 xml:space="preserve">n </w:t>
      </w:r>
      <w:r w:rsidR="00C15BBA" w:rsidRPr="00861A3B">
        <w:rPr>
          <w:rFonts w:ascii="Verdana" w:hAnsi="Verdana" w:cs="Times New Roman"/>
          <w:spacing w:val="1"/>
          <w:sz w:val="20"/>
          <w:szCs w:val="20"/>
        </w:rPr>
        <w:t>mem</w:t>
      </w:r>
      <w:r w:rsidR="00C15BBA" w:rsidRPr="00861A3B">
        <w:rPr>
          <w:rFonts w:ascii="Verdana" w:hAnsi="Verdana" w:cs="Times New Roman"/>
          <w:spacing w:val="-4"/>
          <w:sz w:val="20"/>
          <w:szCs w:val="20"/>
        </w:rPr>
        <w:t>b</w:t>
      </w:r>
      <w:r w:rsidR="00C15BBA" w:rsidRPr="00861A3B">
        <w:rPr>
          <w:rFonts w:ascii="Verdana" w:hAnsi="Verdana" w:cs="Times New Roman"/>
          <w:spacing w:val="1"/>
          <w:sz w:val="20"/>
          <w:szCs w:val="20"/>
        </w:rPr>
        <w:t>a</w:t>
      </w:r>
      <w:r w:rsidR="00C15BBA" w:rsidRPr="00861A3B">
        <w:rPr>
          <w:rFonts w:ascii="Verdana" w:hAnsi="Verdana" w:cs="Times New Roman"/>
          <w:sz w:val="20"/>
          <w:szCs w:val="20"/>
        </w:rPr>
        <w:t>n</w:t>
      </w:r>
      <w:r w:rsidR="00C15BBA" w:rsidRPr="00861A3B">
        <w:rPr>
          <w:rFonts w:ascii="Verdana" w:hAnsi="Verdana" w:cs="Times New Roman"/>
          <w:spacing w:val="1"/>
          <w:sz w:val="20"/>
          <w:szCs w:val="20"/>
        </w:rPr>
        <w:t>t</w:t>
      </w:r>
      <w:r w:rsidR="00C15BBA" w:rsidRPr="00861A3B">
        <w:rPr>
          <w:rFonts w:ascii="Verdana" w:hAnsi="Verdana" w:cs="Times New Roman"/>
          <w:sz w:val="20"/>
          <w:szCs w:val="20"/>
        </w:rPr>
        <w:t>u</w:t>
      </w:r>
      <w:r w:rsidR="00C15BBA" w:rsidRPr="00861A3B">
        <w:rPr>
          <w:rFonts w:ascii="Verdana" w:hAnsi="Verdana" w:cs="Times New Roman"/>
          <w:spacing w:val="4"/>
          <w:sz w:val="20"/>
          <w:szCs w:val="20"/>
        </w:rPr>
        <w:t xml:space="preserve"> </w:t>
      </w:r>
      <w:r w:rsidR="00C15BBA" w:rsidRPr="00861A3B">
        <w:rPr>
          <w:rFonts w:ascii="Verdana" w:hAnsi="Verdana" w:cs="Times New Roman"/>
          <w:sz w:val="20"/>
          <w:szCs w:val="20"/>
        </w:rPr>
        <w:t>p</w:t>
      </w:r>
      <w:r w:rsidR="00C15BBA" w:rsidRPr="00861A3B">
        <w:rPr>
          <w:rFonts w:ascii="Verdana" w:hAnsi="Verdana" w:cs="Times New Roman"/>
          <w:spacing w:val="1"/>
          <w:sz w:val="20"/>
          <w:szCs w:val="20"/>
        </w:rPr>
        <w:t>a</w:t>
      </w:r>
      <w:r w:rsidR="00C15BBA" w:rsidRPr="00861A3B">
        <w:rPr>
          <w:rFonts w:ascii="Verdana" w:hAnsi="Verdana" w:cs="Times New Roman"/>
          <w:spacing w:val="-1"/>
          <w:sz w:val="20"/>
          <w:szCs w:val="20"/>
        </w:rPr>
        <w:t>s</w:t>
      </w:r>
      <w:r w:rsidR="00C15BBA" w:rsidRPr="00861A3B">
        <w:rPr>
          <w:rFonts w:ascii="Verdana" w:hAnsi="Verdana" w:cs="Times New Roman"/>
          <w:spacing w:val="-3"/>
          <w:sz w:val="20"/>
          <w:szCs w:val="20"/>
        </w:rPr>
        <w:t>i</w:t>
      </w:r>
      <w:r w:rsidR="00C15BBA" w:rsidRPr="00861A3B">
        <w:rPr>
          <w:rFonts w:ascii="Verdana" w:hAnsi="Verdana" w:cs="Times New Roman"/>
          <w:spacing w:val="1"/>
          <w:sz w:val="20"/>
          <w:szCs w:val="20"/>
        </w:rPr>
        <w:t>e</w:t>
      </w:r>
      <w:r w:rsidR="00C15BBA" w:rsidRPr="00861A3B">
        <w:rPr>
          <w:rFonts w:ascii="Verdana" w:hAnsi="Verdana" w:cs="Times New Roman"/>
          <w:sz w:val="20"/>
          <w:szCs w:val="20"/>
        </w:rPr>
        <w:t>n demam tifoid</w:t>
      </w:r>
      <w:r w:rsidR="00C15BBA" w:rsidRPr="00861A3B">
        <w:rPr>
          <w:rFonts w:ascii="Verdana" w:hAnsi="Verdana" w:cs="Times New Roman"/>
          <w:spacing w:val="1"/>
          <w:sz w:val="20"/>
          <w:szCs w:val="20"/>
        </w:rPr>
        <w:t xml:space="preserve"> dengan meningkatkan upaya </w:t>
      </w:r>
      <w:r w:rsidR="00C15BBA" w:rsidRPr="00861A3B">
        <w:rPr>
          <w:rFonts w:ascii="Verdana" w:hAnsi="Verdana" w:cs="Times New Roman"/>
          <w:i/>
          <w:spacing w:val="1"/>
          <w:sz w:val="20"/>
          <w:szCs w:val="20"/>
        </w:rPr>
        <w:t>promotive</w:t>
      </w:r>
      <w:r w:rsidR="00C15BBA" w:rsidRPr="00861A3B">
        <w:rPr>
          <w:rFonts w:ascii="Verdana" w:hAnsi="Verdana" w:cs="Times New Roman"/>
          <w:spacing w:val="1"/>
          <w:sz w:val="20"/>
          <w:szCs w:val="20"/>
        </w:rPr>
        <w:t xml:space="preserve"> dan </w:t>
      </w:r>
      <w:r w:rsidR="00C15BBA" w:rsidRPr="00861A3B">
        <w:rPr>
          <w:rFonts w:ascii="Verdana" w:hAnsi="Verdana" w:cs="Times New Roman"/>
          <w:i/>
          <w:spacing w:val="1"/>
          <w:sz w:val="20"/>
          <w:szCs w:val="20"/>
        </w:rPr>
        <w:t>preventive</w:t>
      </w:r>
      <w:r w:rsidR="00C15BBA" w:rsidRPr="00861A3B">
        <w:rPr>
          <w:rFonts w:ascii="Verdana" w:hAnsi="Verdana" w:cs="Times New Roman"/>
          <w:spacing w:val="1"/>
          <w:sz w:val="20"/>
          <w:szCs w:val="20"/>
        </w:rPr>
        <w:t xml:space="preserve"> mengenai faktor penyebab terjadinya demam tifoid, sehingga dapat menurunkan angk</w:t>
      </w:r>
      <w:r>
        <w:rPr>
          <w:rFonts w:ascii="Verdana" w:hAnsi="Verdana" w:cs="Times New Roman"/>
          <w:spacing w:val="1"/>
          <w:sz w:val="20"/>
          <w:szCs w:val="20"/>
        </w:rPr>
        <w:t xml:space="preserve">a kesakitan serta penularannya; </w:t>
      </w:r>
      <w:r>
        <w:rPr>
          <w:rFonts w:ascii="Verdana" w:hAnsi="Verdana" w:cs="Times New Roman"/>
          <w:sz w:val="20"/>
          <w:szCs w:val="20"/>
        </w:rPr>
        <w:t>b</w:t>
      </w:r>
      <w:r w:rsidR="00C15BBA" w:rsidRPr="00861A3B">
        <w:rPr>
          <w:rFonts w:ascii="Verdana" w:hAnsi="Verdana" w:cs="Times New Roman"/>
          <w:sz w:val="20"/>
          <w:szCs w:val="20"/>
        </w:rPr>
        <w:t>agi peneliti yang akan melakukan penelitian selanjutnya, penelitian ini  diharapkan dapat dimanfaatkan sebagai referensi, pendukung, pedoman, dan diharapkan juga untuk menambahkan variabel lain yang dapat mempengaruhi derajat kepositifan tubex TF.</w:t>
      </w:r>
    </w:p>
    <w:p w14:paraId="2B52589A" w14:textId="77777777" w:rsidR="00FA4992" w:rsidRPr="00861A3B" w:rsidRDefault="00FA4992" w:rsidP="00FA4992">
      <w:pPr>
        <w:spacing w:after="0" w:line="240" w:lineRule="auto"/>
        <w:ind w:firstLine="720"/>
        <w:jc w:val="both"/>
        <w:rPr>
          <w:rFonts w:ascii="Verdana" w:hAnsi="Verdana" w:cs="Times New Roman"/>
          <w:spacing w:val="5"/>
          <w:sz w:val="20"/>
          <w:szCs w:val="20"/>
        </w:rPr>
      </w:pPr>
      <w:bookmarkStart w:id="2" w:name="_GoBack"/>
      <w:bookmarkEnd w:id="2"/>
    </w:p>
    <w:p w14:paraId="64A911F6" w14:textId="77777777" w:rsidR="00113E9D" w:rsidRPr="00C15BBA" w:rsidRDefault="00113E9D" w:rsidP="00504226">
      <w:pPr>
        <w:autoSpaceDE w:val="0"/>
        <w:autoSpaceDN w:val="0"/>
        <w:adjustRightInd w:val="0"/>
        <w:spacing w:after="0" w:line="240" w:lineRule="auto"/>
        <w:jc w:val="both"/>
        <w:rPr>
          <w:rFonts w:ascii="Verdana" w:hAnsi="Verdana" w:cs="Times New Roman"/>
          <w:b/>
          <w:sz w:val="20"/>
          <w:szCs w:val="20"/>
        </w:rPr>
      </w:pPr>
      <w:r w:rsidRPr="00C15BBA">
        <w:rPr>
          <w:rFonts w:ascii="Verdana" w:hAnsi="Verdana" w:cs="Times New Roman"/>
          <w:b/>
          <w:sz w:val="20"/>
          <w:szCs w:val="20"/>
        </w:rPr>
        <w:t>DAFTAR PUSTAKA</w:t>
      </w:r>
    </w:p>
    <w:bookmarkStart w:id="3" w:name="_Hlk132059174"/>
    <w:p w14:paraId="3418CDF1" w14:textId="52F88128" w:rsidR="00766A32" w:rsidRPr="00766A32" w:rsidRDefault="00113E9D"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C15BBA">
        <w:rPr>
          <w:rFonts w:ascii="Verdana" w:hAnsi="Verdana" w:cs="Times New Roman"/>
          <w:color w:val="000000"/>
          <w:sz w:val="20"/>
          <w:szCs w:val="20"/>
        </w:rPr>
        <w:fldChar w:fldCharType="begin" w:fldLock="1"/>
      </w:r>
      <w:r w:rsidRPr="00766A32">
        <w:rPr>
          <w:rFonts w:ascii="Verdana" w:hAnsi="Verdana" w:cs="Times New Roman"/>
          <w:color w:val="000000"/>
          <w:sz w:val="20"/>
          <w:szCs w:val="20"/>
        </w:rPr>
        <w:instrText xml:space="preserve">ADDIN Mendeley Bibliography CSL_BIBLIOGRAPHY </w:instrText>
      </w:r>
      <w:r w:rsidRPr="00C15BBA">
        <w:rPr>
          <w:rFonts w:ascii="Verdana" w:hAnsi="Verdana" w:cs="Times New Roman"/>
          <w:color w:val="000000"/>
          <w:sz w:val="20"/>
          <w:szCs w:val="20"/>
        </w:rPr>
        <w:fldChar w:fldCharType="separate"/>
      </w:r>
      <w:bookmarkStart w:id="4" w:name="_Hlk132059574"/>
      <w:r w:rsidR="00766A32" w:rsidRPr="00766A32">
        <w:rPr>
          <w:rFonts w:eastAsiaTheme="minorHAnsi"/>
          <w:lang w:eastAsia="en-US"/>
        </w:rPr>
        <w:t xml:space="preserve"> </w:t>
      </w:r>
      <w:r w:rsidR="00766A32" w:rsidRPr="00766A32">
        <w:rPr>
          <w:rFonts w:ascii="Verdana" w:eastAsiaTheme="minorHAnsi" w:hAnsi="Verdana"/>
          <w:sz w:val="20"/>
          <w:szCs w:val="20"/>
          <w:lang w:eastAsia="en-US"/>
        </w:rPr>
        <w:t>Badan Penelitian dan Pengembangan Kesehatan. (2013). Riset Kesehatan Dasar (RISKEDAS) 2013. Lap Nas 2013. :1–384.</w:t>
      </w:r>
    </w:p>
    <w:p w14:paraId="36A172DD"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Fonna, D. F., Jamil, K. F., &amp; Husnah, H. Hubungan Cara Pengolahan Makanan Dan Minuman Terhadap Kejadian Demam Tifoid Pada Pasien Rawat Inap Di Beberapa Rumah Sakit Di Kota Banda Aceh. Medicus Darussalam, 2019;1(3), 133-140.</w:t>
      </w:r>
    </w:p>
    <w:p w14:paraId="6AC059BB"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Gultom, M. D. (2017). Karakteristik Penderita Demam Tifoid yang Dirawat Inap di Rumah Sakit Santa Elisabeth Medan Tahun 2016.</w:t>
      </w:r>
    </w:p>
    <w:p w14:paraId="703F45C7"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 xml:space="preserve">Khairunnisa, S., Hidayat, E. M., &amp; Herardi, R. (2020, September). </w:t>
      </w:r>
      <w:r w:rsidRPr="00766A32">
        <w:rPr>
          <w:rFonts w:ascii="Verdana" w:eastAsiaTheme="minorHAnsi" w:hAnsi="Verdana"/>
          <w:sz w:val="20"/>
          <w:szCs w:val="20"/>
          <w:lang w:eastAsia="en-US"/>
        </w:rPr>
        <w:lastRenderedPageBreak/>
        <w:t>Hubungan Jumlah Leukosit dan Persentase Limfosit terhadap Tingkat Demam pada Pasien Anak dengan Demam Tifoid di RSUD Budhi Asih Tahun 2018–Oktober 2019. In Seminar Nasional Riset Kedokteran (Vol. 1, No. 1). 2020.</w:t>
      </w:r>
    </w:p>
    <w:p w14:paraId="4664E43F"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Mahapriyasi, M. (2016). Gambaran Uji Sensitivitas Tubex Dan Widal Pada Penderita Demam Typhoid (Studi Di Laboratorium Rsud Jombang) (Doctoral dissertation, STIKes Insan Cendekia Medika Jombang).</w:t>
      </w:r>
    </w:p>
    <w:p w14:paraId="27950F98"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Nazilah, A. A., &amp; Suryanto, S. Hubungan Derajat Kepositifan TUBEX TF dengan Angka Leukosit pada Pasien Demam Tifoid. Mutiara Medika: Jurnal Kedokteran dan Kesehatan, 2013;13(3), 173-180.</w:t>
      </w:r>
    </w:p>
    <w:p w14:paraId="1C83F15E"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Oktaviani H. Hubungan Skala Kepositifan Tubex TF dengan Angka Leukosit Pada Penderita Demam Tifoid. 2019.</w:t>
      </w:r>
    </w:p>
    <w:p w14:paraId="0CCF7101"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Pratiwi, G., Rosita, M., &amp; Khoirin, K. (2022). Evaluasi penggunaan antibiotik pada pasien demam tifoid dengan metode atc/ddd. Babul ilmi jurnal ilmiah multi science kesehatan, 14(Khairunnisa et al., 2020).</w:t>
      </w:r>
    </w:p>
    <w:p w14:paraId="0D2EDC47"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Ramadhayanti A. 2020. Gambaran jumlah leukosit penderita demam tifoid pada anak di RS Bhayangkara kota Palembang tahun 2020. 2020.</w:t>
      </w:r>
    </w:p>
    <w:p w14:paraId="59C54A03"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Samsudin CM. Gambaran Hasil Pemeriksaan Tubex Pada Pasien Demam Tifoid. Vol. 68. 2020. 1–12 p</w:t>
      </w:r>
    </w:p>
    <w:p w14:paraId="00B5341A" w14:textId="77777777" w:rsidR="00766A32" w:rsidRPr="00766A32" w:rsidRDefault="00766A32" w:rsidP="00766A32">
      <w:pPr>
        <w:widowControl w:val="0"/>
        <w:autoSpaceDE w:val="0"/>
        <w:autoSpaceDN w:val="0"/>
        <w:adjustRightInd w:val="0"/>
        <w:spacing w:after="0" w:line="240" w:lineRule="auto"/>
        <w:ind w:left="720" w:hanging="720"/>
        <w:jc w:val="both"/>
        <w:rPr>
          <w:rFonts w:ascii="Verdana" w:eastAsiaTheme="minorHAnsi" w:hAnsi="Verdana"/>
          <w:sz w:val="20"/>
          <w:szCs w:val="20"/>
          <w:lang w:eastAsia="en-US"/>
        </w:rPr>
      </w:pPr>
      <w:r w:rsidRPr="00766A32">
        <w:rPr>
          <w:rFonts w:ascii="Verdana" w:eastAsiaTheme="minorHAnsi" w:hAnsi="Verdana"/>
          <w:sz w:val="20"/>
          <w:szCs w:val="20"/>
          <w:lang w:eastAsia="en-US"/>
        </w:rPr>
        <w:t>Saputri, R., Rahimi, A., &amp; Chiuman, L. (2022). Gambaran Klinis Demam Tifoid Dibandingkan dengan Hasil Pemeriksaan Tubex Test di Rumah Sakit Royal Prima Medan pada Bulan Januari-Desember Tahun 2021. Jurnal Pendidikan dan Konseling (JPDK), 4(6), 1582-1593.</w:t>
      </w:r>
    </w:p>
    <w:p w14:paraId="516DB4AD" w14:textId="429C8936" w:rsidR="00113E9D" w:rsidRPr="00C15BBA" w:rsidRDefault="00766A32" w:rsidP="00766A32">
      <w:pPr>
        <w:widowControl w:val="0"/>
        <w:autoSpaceDE w:val="0"/>
        <w:autoSpaceDN w:val="0"/>
        <w:adjustRightInd w:val="0"/>
        <w:spacing w:after="0" w:line="240" w:lineRule="auto"/>
        <w:ind w:left="720" w:hanging="720"/>
        <w:jc w:val="both"/>
        <w:rPr>
          <w:rFonts w:ascii="Verdana" w:hAnsi="Verdana" w:cs="Times New Roman"/>
          <w:noProof/>
          <w:sz w:val="20"/>
          <w:szCs w:val="20"/>
        </w:rPr>
      </w:pPr>
      <w:r w:rsidRPr="00766A32">
        <w:rPr>
          <w:rFonts w:ascii="Verdana" w:eastAsiaTheme="minorHAnsi" w:hAnsi="Verdana"/>
          <w:sz w:val="20"/>
          <w:szCs w:val="20"/>
          <w:lang w:eastAsia="en-US"/>
        </w:rPr>
        <w:t>Setiati, S., Alwi, I., Sudoyo, A. W., Simadibrata, M. K., Setiyohadi, B., &amp; Syam, A. F. Buku Ajar Ilmu Penyakit Dalam Edisi VI. Jakarta Pusat: Intrna Publishing. 2014</w:t>
      </w:r>
    </w:p>
    <w:bookmarkEnd w:id="4"/>
    <w:p w14:paraId="78B9249D" w14:textId="77777777" w:rsidR="00113E9D" w:rsidRPr="00C15BBA" w:rsidRDefault="00113E9D" w:rsidP="00766A32">
      <w:pPr>
        <w:widowControl w:val="0"/>
        <w:autoSpaceDE w:val="0"/>
        <w:autoSpaceDN w:val="0"/>
        <w:adjustRightInd w:val="0"/>
        <w:spacing w:line="240" w:lineRule="auto"/>
        <w:jc w:val="both"/>
        <w:rPr>
          <w:rFonts w:ascii="Verdana" w:hAnsi="Verdana" w:cs="Times New Roman"/>
          <w:noProof/>
          <w:sz w:val="20"/>
          <w:szCs w:val="20"/>
        </w:rPr>
      </w:pPr>
      <w:r w:rsidRPr="00C15BBA">
        <w:rPr>
          <w:rFonts w:ascii="Verdana" w:hAnsi="Verdana" w:cs="Times New Roman"/>
          <w:color w:val="000000"/>
          <w:sz w:val="20"/>
          <w:szCs w:val="20"/>
        </w:rPr>
        <w:fldChar w:fldCharType="end"/>
      </w:r>
      <w:bookmarkEnd w:id="3"/>
    </w:p>
    <w:p w14:paraId="5571E792" w14:textId="77777777" w:rsidR="00C3492A" w:rsidRDefault="00C3492A" w:rsidP="00C15BBA">
      <w:pPr>
        <w:spacing w:line="240" w:lineRule="auto"/>
        <w:rPr>
          <w:rFonts w:ascii="Verdana" w:hAnsi="Verdana"/>
          <w:sz w:val="20"/>
          <w:szCs w:val="20"/>
        </w:rPr>
        <w:sectPr w:rsidR="00C3492A" w:rsidSect="00C3492A">
          <w:type w:val="continuous"/>
          <w:pgSz w:w="11907" w:h="16839" w:code="9"/>
          <w:pgMar w:top="1418" w:right="1418" w:bottom="1418" w:left="1418" w:header="720" w:footer="720" w:gutter="0"/>
          <w:cols w:num="2" w:space="720"/>
          <w:docGrid w:linePitch="360"/>
        </w:sectPr>
      </w:pPr>
    </w:p>
    <w:p w14:paraId="71BE9E15" w14:textId="492617F5" w:rsidR="00113E9D" w:rsidRPr="00C15BBA" w:rsidRDefault="00113E9D" w:rsidP="00C15BBA">
      <w:pPr>
        <w:spacing w:line="240" w:lineRule="auto"/>
        <w:rPr>
          <w:rFonts w:ascii="Verdana" w:hAnsi="Verdana"/>
          <w:sz w:val="20"/>
          <w:szCs w:val="20"/>
        </w:rPr>
      </w:pPr>
    </w:p>
    <w:sectPr w:rsidR="00113E9D" w:rsidRPr="00C15BBA" w:rsidSect="00C3492A">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40E4C" w14:textId="77777777" w:rsidR="000B505C" w:rsidRDefault="000B505C">
      <w:pPr>
        <w:spacing w:after="0" w:line="240" w:lineRule="auto"/>
      </w:pPr>
      <w:r>
        <w:separator/>
      </w:r>
    </w:p>
  </w:endnote>
  <w:endnote w:type="continuationSeparator" w:id="0">
    <w:p w14:paraId="357DD432" w14:textId="77777777" w:rsidR="000B505C" w:rsidRDefault="000B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93859"/>
      <w:docPartObj>
        <w:docPartGallery w:val="Page Numbers (Bottom of Page)"/>
        <w:docPartUnique/>
      </w:docPartObj>
    </w:sdtPr>
    <w:sdtEndPr>
      <w:rPr>
        <w:rFonts w:ascii="Times New Roman" w:hAnsi="Times New Roman" w:cs="Times New Roman"/>
        <w:noProof/>
        <w:sz w:val="24"/>
      </w:rPr>
    </w:sdtEndPr>
    <w:sdtContent>
      <w:p w14:paraId="3C7F00DD" w14:textId="77777777" w:rsidR="009D0C30" w:rsidRPr="009D0C30" w:rsidRDefault="005420BF">
        <w:pPr>
          <w:pStyle w:val="Footer"/>
          <w:jc w:val="right"/>
          <w:rPr>
            <w:rFonts w:ascii="Times New Roman" w:hAnsi="Times New Roman" w:cs="Times New Roman"/>
            <w:sz w:val="24"/>
          </w:rPr>
        </w:pPr>
        <w:r w:rsidRPr="009D0C30">
          <w:rPr>
            <w:rFonts w:ascii="Times New Roman" w:hAnsi="Times New Roman" w:cs="Times New Roman"/>
            <w:sz w:val="24"/>
          </w:rPr>
          <w:fldChar w:fldCharType="begin"/>
        </w:r>
        <w:r w:rsidRPr="009D0C30">
          <w:rPr>
            <w:rFonts w:ascii="Times New Roman" w:hAnsi="Times New Roman" w:cs="Times New Roman"/>
            <w:sz w:val="24"/>
          </w:rPr>
          <w:instrText xml:space="preserve"> PAGE   \* MERGEFORMAT </w:instrText>
        </w:r>
        <w:r w:rsidRPr="009D0C30">
          <w:rPr>
            <w:rFonts w:ascii="Times New Roman" w:hAnsi="Times New Roman" w:cs="Times New Roman"/>
            <w:sz w:val="24"/>
          </w:rPr>
          <w:fldChar w:fldCharType="separate"/>
        </w:r>
        <w:r w:rsidR="00C3492A">
          <w:rPr>
            <w:rFonts w:ascii="Times New Roman" w:hAnsi="Times New Roman" w:cs="Times New Roman"/>
            <w:noProof/>
            <w:sz w:val="24"/>
          </w:rPr>
          <w:t>1</w:t>
        </w:r>
        <w:r w:rsidRPr="009D0C30">
          <w:rPr>
            <w:rFonts w:ascii="Times New Roman" w:hAnsi="Times New Roman" w:cs="Times New Roman"/>
            <w:noProof/>
            <w:sz w:val="24"/>
          </w:rPr>
          <w:fldChar w:fldCharType="end"/>
        </w:r>
      </w:p>
    </w:sdtContent>
  </w:sdt>
  <w:p w14:paraId="6F50FB0B" w14:textId="77777777" w:rsidR="009D0C30" w:rsidRDefault="000B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9E51C" w14:textId="77777777" w:rsidR="000B505C" w:rsidRDefault="000B505C">
      <w:pPr>
        <w:spacing w:after="0" w:line="240" w:lineRule="auto"/>
      </w:pPr>
      <w:r>
        <w:separator/>
      </w:r>
    </w:p>
  </w:footnote>
  <w:footnote w:type="continuationSeparator" w:id="0">
    <w:p w14:paraId="4E06FAA3" w14:textId="77777777" w:rsidR="000B505C" w:rsidRDefault="000B5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5217"/>
    <w:multiLevelType w:val="hybridMultilevel"/>
    <w:tmpl w:val="5ED8DD92"/>
    <w:lvl w:ilvl="0" w:tplc="4E0CA3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C7276"/>
    <w:multiLevelType w:val="hybridMultilevel"/>
    <w:tmpl w:val="7DFC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C7F20"/>
    <w:multiLevelType w:val="hybridMultilevel"/>
    <w:tmpl w:val="279E1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A454807"/>
    <w:multiLevelType w:val="hybridMultilevel"/>
    <w:tmpl w:val="07909F3C"/>
    <w:lvl w:ilvl="0" w:tplc="735AA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D"/>
    <w:rsid w:val="000853F2"/>
    <w:rsid w:val="000B505C"/>
    <w:rsid w:val="000E3DAF"/>
    <w:rsid w:val="00113E9D"/>
    <w:rsid w:val="001965B7"/>
    <w:rsid w:val="002E1753"/>
    <w:rsid w:val="00310782"/>
    <w:rsid w:val="003278AE"/>
    <w:rsid w:val="003446C2"/>
    <w:rsid w:val="0039200B"/>
    <w:rsid w:val="00401510"/>
    <w:rsid w:val="004255FB"/>
    <w:rsid w:val="004615B3"/>
    <w:rsid w:val="00504226"/>
    <w:rsid w:val="00512CF4"/>
    <w:rsid w:val="005420BF"/>
    <w:rsid w:val="00642FF0"/>
    <w:rsid w:val="006505BA"/>
    <w:rsid w:val="006709DF"/>
    <w:rsid w:val="00683F27"/>
    <w:rsid w:val="00766A32"/>
    <w:rsid w:val="00784AC2"/>
    <w:rsid w:val="00790A31"/>
    <w:rsid w:val="00797CA3"/>
    <w:rsid w:val="007A2FBD"/>
    <w:rsid w:val="007B1862"/>
    <w:rsid w:val="008175AC"/>
    <w:rsid w:val="00861A3B"/>
    <w:rsid w:val="008F6BFC"/>
    <w:rsid w:val="00964A15"/>
    <w:rsid w:val="00AD121F"/>
    <w:rsid w:val="00AF506E"/>
    <w:rsid w:val="00B76796"/>
    <w:rsid w:val="00C15BBA"/>
    <w:rsid w:val="00C3492A"/>
    <w:rsid w:val="00C80461"/>
    <w:rsid w:val="00CA2AB4"/>
    <w:rsid w:val="00DD3316"/>
    <w:rsid w:val="00E70C91"/>
    <w:rsid w:val="00EE60DB"/>
    <w:rsid w:val="00EF63DA"/>
    <w:rsid w:val="00FA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9D"/>
    <w:pPr>
      <w:spacing w:after="200" w:line="276" w:lineRule="auto"/>
    </w:pPr>
    <w:rPr>
      <w:rFonts w:eastAsiaTheme="minorEastAsia"/>
      <w:lang w:eastAsia="ja-JP"/>
    </w:rPr>
  </w:style>
  <w:style w:type="paragraph" w:styleId="Heading3">
    <w:name w:val="heading 3"/>
    <w:basedOn w:val="Normal"/>
    <w:next w:val="Normal"/>
    <w:link w:val="Heading3Char"/>
    <w:rsid w:val="00113E9D"/>
    <w:pPr>
      <w:keepNext/>
      <w:spacing w:before="240" w:after="60" w:line="240" w:lineRule="auto"/>
      <w:ind w:left="2160" w:hanging="720"/>
      <w:outlineLvl w:val="2"/>
    </w:pPr>
    <w:rPr>
      <w:rFonts w:ascii="Cambria" w:eastAsia="Cambria" w:hAnsi="Cambria" w:cs="Cambria"/>
      <w:b/>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E9D"/>
    <w:rPr>
      <w:rFonts w:ascii="Cambria" w:eastAsia="Cambria" w:hAnsi="Cambria" w:cs="Cambria"/>
      <w:b/>
      <w:sz w:val="26"/>
      <w:szCs w:val="26"/>
      <w:lang w:val="id-ID"/>
    </w:rPr>
  </w:style>
  <w:style w:type="character" w:styleId="Hyperlink">
    <w:name w:val="Hyperlink"/>
    <w:basedOn w:val="DefaultParagraphFont"/>
    <w:uiPriority w:val="99"/>
    <w:unhideWhenUsed/>
    <w:rsid w:val="00113E9D"/>
    <w:rPr>
      <w:color w:val="0563C1" w:themeColor="hyperlink"/>
      <w:u w:val="single"/>
    </w:rPr>
  </w:style>
  <w:style w:type="paragraph" w:styleId="Footer">
    <w:name w:val="footer"/>
    <w:basedOn w:val="Normal"/>
    <w:link w:val="FooterChar"/>
    <w:uiPriority w:val="99"/>
    <w:unhideWhenUsed/>
    <w:rsid w:val="0011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9D"/>
    <w:rPr>
      <w:rFonts w:eastAsiaTheme="minorEastAsia"/>
      <w:lang w:eastAsia="ja-JP"/>
    </w:rPr>
  </w:style>
  <w:style w:type="paragraph" w:styleId="ListParagraph">
    <w:name w:val="List Paragraph"/>
    <w:basedOn w:val="Normal"/>
    <w:uiPriority w:val="1"/>
    <w:qFormat/>
    <w:rsid w:val="00113E9D"/>
    <w:pPr>
      <w:ind w:left="720"/>
      <w:contextualSpacing/>
    </w:pPr>
  </w:style>
  <w:style w:type="table" w:customStyle="1" w:styleId="TableGrid1">
    <w:name w:val="Table Grid1"/>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customStyle="1" w:styleId="TableGrid3">
    <w:name w:val="Table Grid3"/>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qFormat/>
    <w:rsid w:val="00113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80461"/>
    <w:rPr>
      <w:color w:val="605E5C"/>
      <w:shd w:val="clear" w:color="auto" w:fill="E1DFDD"/>
    </w:rPr>
  </w:style>
  <w:style w:type="paragraph" w:styleId="Caption">
    <w:name w:val="caption"/>
    <w:basedOn w:val="Normal"/>
    <w:next w:val="Normal"/>
    <w:uiPriority w:val="35"/>
    <w:unhideWhenUsed/>
    <w:qFormat/>
    <w:rsid w:val="00AF506E"/>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310782"/>
    <w:rPr>
      <w:vertAlign w:val="superscript"/>
    </w:rPr>
  </w:style>
  <w:style w:type="character" w:customStyle="1" w:styleId="UnresolvedMention">
    <w:name w:val="Unresolved Mention"/>
    <w:basedOn w:val="DefaultParagraphFont"/>
    <w:uiPriority w:val="99"/>
    <w:semiHidden/>
    <w:unhideWhenUsed/>
    <w:rsid w:val="00B767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9D"/>
    <w:pPr>
      <w:spacing w:after="200" w:line="276" w:lineRule="auto"/>
    </w:pPr>
    <w:rPr>
      <w:rFonts w:eastAsiaTheme="minorEastAsia"/>
      <w:lang w:eastAsia="ja-JP"/>
    </w:rPr>
  </w:style>
  <w:style w:type="paragraph" w:styleId="Heading3">
    <w:name w:val="heading 3"/>
    <w:basedOn w:val="Normal"/>
    <w:next w:val="Normal"/>
    <w:link w:val="Heading3Char"/>
    <w:rsid w:val="00113E9D"/>
    <w:pPr>
      <w:keepNext/>
      <w:spacing w:before="240" w:after="60" w:line="240" w:lineRule="auto"/>
      <w:ind w:left="2160" w:hanging="720"/>
      <w:outlineLvl w:val="2"/>
    </w:pPr>
    <w:rPr>
      <w:rFonts w:ascii="Cambria" w:eastAsia="Cambria" w:hAnsi="Cambria" w:cs="Cambria"/>
      <w:b/>
      <w:sz w:val="26"/>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E9D"/>
    <w:rPr>
      <w:rFonts w:ascii="Cambria" w:eastAsia="Cambria" w:hAnsi="Cambria" w:cs="Cambria"/>
      <w:b/>
      <w:sz w:val="26"/>
      <w:szCs w:val="26"/>
      <w:lang w:val="id-ID"/>
    </w:rPr>
  </w:style>
  <w:style w:type="character" w:styleId="Hyperlink">
    <w:name w:val="Hyperlink"/>
    <w:basedOn w:val="DefaultParagraphFont"/>
    <w:uiPriority w:val="99"/>
    <w:unhideWhenUsed/>
    <w:rsid w:val="00113E9D"/>
    <w:rPr>
      <w:color w:val="0563C1" w:themeColor="hyperlink"/>
      <w:u w:val="single"/>
    </w:rPr>
  </w:style>
  <w:style w:type="paragraph" w:styleId="Footer">
    <w:name w:val="footer"/>
    <w:basedOn w:val="Normal"/>
    <w:link w:val="FooterChar"/>
    <w:uiPriority w:val="99"/>
    <w:unhideWhenUsed/>
    <w:rsid w:val="0011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9D"/>
    <w:rPr>
      <w:rFonts w:eastAsiaTheme="minorEastAsia"/>
      <w:lang w:eastAsia="ja-JP"/>
    </w:rPr>
  </w:style>
  <w:style w:type="paragraph" w:styleId="ListParagraph">
    <w:name w:val="List Paragraph"/>
    <w:basedOn w:val="Normal"/>
    <w:uiPriority w:val="1"/>
    <w:qFormat/>
    <w:rsid w:val="00113E9D"/>
    <w:pPr>
      <w:ind w:left="720"/>
      <w:contextualSpacing/>
    </w:pPr>
  </w:style>
  <w:style w:type="table" w:customStyle="1" w:styleId="TableGrid1">
    <w:name w:val="Table Grid1"/>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customStyle="1" w:styleId="TableGrid3">
    <w:name w:val="Table Grid3"/>
    <w:basedOn w:val="TableNormal"/>
    <w:next w:val="TableGrid"/>
    <w:uiPriority w:val="59"/>
    <w:rsid w:val="00113E9D"/>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qFormat/>
    <w:rsid w:val="00113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80461"/>
    <w:rPr>
      <w:color w:val="605E5C"/>
      <w:shd w:val="clear" w:color="auto" w:fill="E1DFDD"/>
    </w:rPr>
  </w:style>
  <w:style w:type="paragraph" w:styleId="Caption">
    <w:name w:val="caption"/>
    <w:basedOn w:val="Normal"/>
    <w:next w:val="Normal"/>
    <w:uiPriority w:val="35"/>
    <w:unhideWhenUsed/>
    <w:qFormat/>
    <w:rsid w:val="00AF506E"/>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310782"/>
    <w:rPr>
      <w:vertAlign w:val="superscript"/>
    </w:rPr>
  </w:style>
  <w:style w:type="character" w:customStyle="1" w:styleId="UnresolvedMention">
    <w:name w:val="Unresolved Mention"/>
    <w:basedOn w:val="DefaultParagraphFont"/>
    <w:uiPriority w:val="99"/>
    <w:semiHidden/>
    <w:unhideWhenUsed/>
    <w:rsid w:val="00B7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53502">
      <w:bodyDiv w:val="1"/>
      <w:marLeft w:val="0"/>
      <w:marRight w:val="0"/>
      <w:marTop w:val="0"/>
      <w:marBottom w:val="0"/>
      <w:divBdr>
        <w:top w:val="none" w:sz="0" w:space="0" w:color="auto"/>
        <w:left w:val="none" w:sz="0" w:space="0" w:color="auto"/>
        <w:bottom w:val="none" w:sz="0" w:space="0" w:color="auto"/>
        <w:right w:val="none" w:sz="0" w:space="0" w:color="auto"/>
      </w:divBdr>
    </w:div>
    <w:div w:id="20332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zka.sofia@unima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D472-46CB-4F9E-A10E-6F9B56E3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10</cp:revision>
  <cp:lastPrinted>2023-04-10T16:30:00Z</cp:lastPrinted>
  <dcterms:created xsi:type="dcterms:W3CDTF">2023-04-10T16:01:00Z</dcterms:created>
  <dcterms:modified xsi:type="dcterms:W3CDTF">2023-04-11T04:33:00Z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